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招标编号：SXCG202205-G-008</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书香世家平江府酒店宴会厅全息投影改造工程</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lang w:val="en-US" w:eastAsia="zh-CN"/>
        </w:rPr>
        <w:t>/建设</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苏州书香世家平江府酒店有限公司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2022</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05</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10</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42"/>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_Toc24090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_Toc24090 \h </w:instrText>
      </w:r>
      <w:r>
        <w:fldChar w:fldCharType="separate"/>
      </w:r>
      <w:r>
        <w:t>3</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_Toc25158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_Toc25158 \h </w:instrText>
      </w:r>
      <w:r>
        <w:fldChar w:fldCharType="separate"/>
      </w:r>
      <w:r>
        <w:t>4</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_Toc25018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_Toc25018 \h </w:instrText>
      </w:r>
      <w:r>
        <w:fldChar w:fldCharType="separate"/>
      </w:r>
      <w:r>
        <w:t>8</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_Toc11427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评分标准</w:t>
      </w:r>
      <w:r>
        <w:tab/>
      </w:r>
      <w:r>
        <w:fldChar w:fldCharType="begin"/>
      </w:r>
      <w:r>
        <w:instrText xml:space="preserve"> PAGEREF _Toc11427 \h </w:instrText>
      </w:r>
      <w:r>
        <w:fldChar w:fldCharType="separate"/>
      </w:r>
      <w:r>
        <w:t>10</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_Toc26765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_Toc26765 \h </w:instrText>
      </w:r>
      <w:r>
        <w:fldChar w:fldCharType="separate"/>
      </w:r>
      <w:r>
        <w:t>12</w:t>
      </w:r>
      <w:r>
        <w:fldChar w:fldCharType="end"/>
      </w:r>
      <w:r>
        <w:rPr>
          <w:rFonts w:hint="eastAsia" w:ascii="仿宋" w:hAnsi="仿宋" w:eastAsia="仿宋" w:cs="仿宋"/>
        </w:rPr>
        <w:fldChar w:fldCharType="end"/>
      </w:r>
    </w:p>
    <w:p>
      <w:pPr>
        <w:pStyle w:val="17"/>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_Toc13709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_Toc13709 \h </w:instrText>
      </w:r>
      <w:r>
        <w:fldChar w:fldCharType="separate"/>
      </w:r>
      <w:r>
        <w:t>13</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22"/>
        <w:jc w:val="center"/>
        <w:rPr>
          <w:rFonts w:hint="eastAsia" w:ascii="仿宋" w:hAnsi="仿宋" w:eastAsia="仿宋" w:cs="仿宋"/>
        </w:rPr>
      </w:pPr>
      <w:bookmarkStart w:id="0" w:name="_Toc4118"/>
      <w:bookmarkStart w:id="1" w:name="_Toc24090"/>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书香世家平江府酒店宴会厅全息投影改造工程</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SXCG202205-G-008</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default" w:ascii="仿宋" w:hAnsi="仿宋" w:eastAsia="仿宋" w:cs="仿宋"/>
          <w:sz w:val="24"/>
          <w:szCs w:val="28"/>
          <w:lang w:val="en-US" w:eastAsia="zh-CN"/>
        </w:rPr>
      </w:pPr>
      <w:r>
        <w:rPr>
          <w:rFonts w:hint="eastAsia" w:ascii="仿宋" w:hAnsi="仿宋" w:eastAsia="仿宋" w:cs="仿宋"/>
          <w:sz w:val="24"/>
          <w:szCs w:val="28"/>
          <w:lang w:val="en-US" w:eastAsia="zh-CN"/>
        </w:rPr>
        <w:t>2、具备开具正规增值税发票的资格</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4</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5</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评标方式：综合评分法。</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日期：20</w:t>
      </w:r>
      <w:r>
        <w:rPr>
          <w:rFonts w:hint="eastAsia" w:ascii="仿宋" w:hAnsi="仿宋" w:eastAsia="仿宋" w:cs="仿宋"/>
          <w:sz w:val="24"/>
          <w:szCs w:val="28"/>
          <w:lang w:val="en-US" w:eastAsia="zh-CN"/>
        </w:rPr>
        <w:t>22</w:t>
      </w:r>
      <w:r>
        <w:rPr>
          <w:rFonts w:hint="eastAsia" w:ascii="仿宋" w:hAnsi="仿宋" w:eastAsia="仿宋" w:cs="仿宋"/>
          <w:sz w:val="24"/>
          <w:szCs w:val="28"/>
        </w:rPr>
        <w:t>年</w:t>
      </w:r>
      <w:r>
        <w:rPr>
          <w:rFonts w:hint="eastAsia" w:ascii="仿宋" w:hAnsi="仿宋" w:eastAsia="仿宋" w:cs="仿宋"/>
          <w:sz w:val="24"/>
          <w:szCs w:val="28"/>
          <w:lang w:val="en-US" w:eastAsia="zh-CN"/>
        </w:rPr>
        <w:t>05</w:t>
      </w:r>
      <w:r>
        <w:rPr>
          <w:rFonts w:hint="eastAsia" w:ascii="仿宋" w:hAnsi="仿宋" w:eastAsia="仿宋" w:cs="仿宋"/>
          <w:sz w:val="24"/>
          <w:szCs w:val="28"/>
        </w:rPr>
        <w:t>月</w:t>
      </w:r>
      <w:r>
        <w:rPr>
          <w:rFonts w:hint="eastAsia" w:ascii="仿宋" w:hAnsi="仿宋" w:eastAsia="仿宋" w:cs="仿宋"/>
          <w:sz w:val="24"/>
          <w:szCs w:val="28"/>
          <w:lang w:val="en-US" w:eastAsia="zh-CN"/>
        </w:rPr>
        <w:t>10</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2"/>
        <w:numPr>
          <w:ilvl w:val="0"/>
          <w:numId w:val="2"/>
        </w:numPr>
        <w:rPr>
          <w:rFonts w:hint="eastAsia" w:ascii="仿宋" w:hAnsi="仿宋" w:eastAsia="仿宋" w:cs="仿宋"/>
        </w:rPr>
      </w:pPr>
      <w:bookmarkStart w:id="3" w:name="_Toc25158"/>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3"/>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：SXCG202205-G-008</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：书香世家平江府酒店宴会厅全息投影改造工程</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6"/>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招标文件咨询联系人：周工，电话：18817376790</w:t>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现场勘察咨询联系人：吴忻，电话：13812788513</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项目地址：江苏省苏州市姑苏区白塔东路60号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①、2022年05 月13日前，发到各投标单位邮箱。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②、投标人未按照招标规定的时间要求（招标文件发出后3日内）提出疑问的，将视作为无疑问，由此产生的一切后果由投标人负责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highlight w:val="yellow"/>
                <w:lang w:eastAsia="zh-CN"/>
              </w:rPr>
              <w:t>投标人资质及要求</w:t>
            </w:r>
          </w:p>
        </w:tc>
        <w:tc>
          <w:tcPr>
            <w:tcW w:w="7035" w:type="dxa"/>
            <w:tcBorders>
              <w:tl2br w:val="nil"/>
              <w:tr2bl w:val="nil"/>
            </w:tcBorders>
          </w:tcPr>
          <w:p>
            <w:pPr>
              <w:numPr>
                <w:ilvl w:val="0"/>
                <w:numId w:val="3"/>
              </w:numPr>
              <w:rPr>
                <w:rFonts w:hint="eastAsia" w:ascii="仿宋" w:hAnsi="仿宋" w:eastAsia="仿宋" w:cs="仿宋"/>
                <w:sz w:val="24"/>
                <w:szCs w:val="28"/>
                <w:lang w:eastAsia="zh-CN"/>
              </w:rPr>
            </w:pPr>
            <w:r>
              <w:rPr>
                <w:rFonts w:hint="eastAsia" w:ascii="仿宋" w:hAnsi="仿宋" w:eastAsia="仿宋" w:cs="仿宋"/>
                <w:sz w:val="24"/>
                <w:szCs w:val="28"/>
                <w:lang w:eastAsia="zh-CN"/>
              </w:rPr>
              <w:t>独立法人，具有独立承担民事责任的能力，信誉良好、经营范围满足招标内容要求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default" w:ascii="仿宋" w:hAnsi="仿宋" w:eastAsia="仿宋" w:cs="仿宋"/>
                <w:sz w:val="24"/>
                <w:szCs w:val="28"/>
                <w:lang w:val="en-US" w:eastAsia="zh-CN"/>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6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2022</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05</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17</w:t>
            </w:r>
            <w:r>
              <w:rPr>
                <w:rFonts w:hint="eastAsia" w:ascii="仿宋" w:hAnsi="仿宋" w:eastAsia="仿宋" w:cs="仿宋"/>
                <w:b/>
                <w:bCs/>
                <w:color w:val="auto"/>
                <w:sz w:val="24"/>
                <w:szCs w:val="24"/>
                <w:highlight w:val="yellow"/>
              </w:rPr>
              <w:t>日1</w:t>
            </w:r>
            <w:r>
              <w:rPr>
                <w:rFonts w:hint="eastAsia" w:ascii="仿宋" w:hAnsi="仿宋" w:eastAsia="仿宋" w:cs="仿宋"/>
                <w:b/>
                <w:bCs/>
                <w:color w:val="auto"/>
                <w:sz w:val="24"/>
                <w:szCs w:val="24"/>
                <w:highlight w:val="yellow"/>
                <w:lang w:val="en-US" w:eastAsia="zh-CN"/>
              </w:rPr>
              <w:t>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b/>
                <w:bCs/>
                <w:color w:val="000000"/>
                <w:sz w:val="24"/>
                <w:szCs w:val="24"/>
                <w:lang w:eastAsia="zh-CN"/>
              </w:rPr>
              <w:t>投标单位案陈述</w:t>
            </w:r>
          </w:p>
        </w:tc>
        <w:tc>
          <w:tcPr>
            <w:tcW w:w="7035" w:type="dxa"/>
            <w:tcBorders>
              <w:tl2br w:val="nil"/>
              <w:tr2bl w:val="nil"/>
            </w:tcBorders>
          </w:tcPr>
          <w:p>
            <w:p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val="en-US" w:eastAsia="zh-CN"/>
              </w:rPr>
              <w:t>1、</w:t>
            </w:r>
            <w:r>
              <w:rPr>
                <w:rFonts w:hint="eastAsia" w:ascii="仿宋" w:hAnsi="仿宋" w:eastAsia="仿宋" w:cs="仿宋"/>
                <w:b/>
                <w:bCs/>
                <w:sz w:val="24"/>
                <w:szCs w:val="24"/>
                <w:highlight w:val="yellow"/>
                <w:lang w:eastAsia="zh-CN"/>
              </w:rPr>
              <w:t>开标当日，由投标人对投标文件进行陈述（</w:t>
            </w:r>
            <w:r>
              <w:rPr>
                <w:rFonts w:hint="eastAsia" w:ascii="仿宋" w:hAnsi="仿宋" w:eastAsia="仿宋" w:cs="仿宋"/>
                <w:b/>
                <w:bCs/>
                <w:sz w:val="24"/>
                <w:szCs w:val="24"/>
                <w:highlight w:val="yellow"/>
                <w:lang w:val="en-US" w:eastAsia="zh-CN"/>
              </w:rPr>
              <w:t>45</w:t>
            </w:r>
            <w:r>
              <w:rPr>
                <w:rFonts w:hint="eastAsia" w:ascii="仿宋" w:hAnsi="仿宋" w:eastAsia="仿宋" w:cs="仿宋"/>
                <w:b/>
                <w:bCs/>
                <w:sz w:val="24"/>
                <w:szCs w:val="24"/>
                <w:highlight w:val="yellow"/>
                <w:lang w:eastAsia="zh-CN"/>
              </w:rPr>
              <w:t xml:space="preserve"> 分钟），接受评标小组成员提问并进行解答。</w:t>
            </w:r>
          </w:p>
          <w:p>
            <w:p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val="en-US" w:eastAsia="zh-CN"/>
              </w:rPr>
              <w:t>2、</w:t>
            </w:r>
            <w:r>
              <w:rPr>
                <w:rFonts w:hint="eastAsia" w:ascii="仿宋" w:hAnsi="仿宋" w:eastAsia="仿宋" w:cs="仿宋"/>
                <w:b/>
                <w:bCs/>
                <w:sz w:val="24"/>
                <w:szCs w:val="24"/>
                <w:highlight w:val="yellow"/>
                <w:lang w:eastAsia="zh-CN"/>
              </w:rPr>
              <w:t>投标人讲标将以线上视频会议的形式进行。</w:t>
            </w:r>
          </w:p>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b/>
                <w:bCs/>
                <w:sz w:val="24"/>
                <w:szCs w:val="24"/>
                <w:highlight w:val="yellow"/>
                <w:lang w:val="en-US" w:eastAsia="zh-CN"/>
              </w:rPr>
              <w:t>3、</w:t>
            </w:r>
            <w:r>
              <w:rPr>
                <w:rFonts w:hint="eastAsia" w:ascii="仿宋" w:hAnsi="仿宋" w:eastAsia="仿宋" w:cs="仿宋"/>
                <w:b/>
                <w:bCs/>
                <w:sz w:val="24"/>
                <w:szCs w:val="24"/>
                <w:highlight w:val="yellow"/>
                <w:lang w:eastAsia="zh-CN"/>
              </w:rPr>
              <w:t>开标的具体时间由甲方邮件通知为准。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报价方式及</w:t>
            </w:r>
            <w:r>
              <w:rPr>
                <w:rFonts w:hint="eastAsia" w:ascii="仿宋" w:hAnsi="仿宋" w:eastAsia="仿宋" w:cs="仿宋"/>
                <w:color w:val="000000"/>
                <w:sz w:val="24"/>
                <w:szCs w:val="24"/>
                <w:lang w:eastAsia="zh-CN"/>
              </w:rPr>
              <w:t>评标方法</w:t>
            </w:r>
          </w:p>
        </w:tc>
        <w:tc>
          <w:tcPr>
            <w:tcW w:w="7035" w:type="dxa"/>
            <w:tcBorders>
              <w:tl2br w:val="nil"/>
              <w:tr2bl w:val="nil"/>
            </w:tcBorders>
          </w:tcPr>
          <w:p>
            <w:pPr>
              <w:numPr>
                <w:ilvl w:val="0"/>
                <w:numId w:val="4"/>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w:t>
            </w:r>
            <w:r>
              <w:rPr>
                <w:rFonts w:hint="eastAsia" w:ascii="仿宋" w:hAnsi="仿宋" w:eastAsia="仿宋" w:cs="仿宋"/>
                <w:sz w:val="24"/>
                <w:szCs w:val="24"/>
                <w:highlight w:val="none"/>
                <w:lang w:eastAsia="zh-CN"/>
              </w:rPr>
              <w:t>按</w:t>
            </w:r>
            <w:r>
              <w:rPr>
                <w:rFonts w:hint="eastAsia" w:ascii="仿宋" w:hAnsi="仿宋" w:eastAsia="仿宋" w:cs="仿宋"/>
                <w:b/>
                <w:bCs/>
                <w:sz w:val="24"/>
                <w:szCs w:val="28"/>
                <w:highlight w:val="yellow"/>
                <w:lang w:eastAsia="zh-CN"/>
              </w:rPr>
              <w:t>综合评分法选择中标人</w:t>
            </w:r>
            <w:r>
              <w:rPr>
                <w:rFonts w:hint="eastAsia" w:ascii="仿宋" w:hAnsi="仿宋" w:eastAsia="仿宋" w:cs="仿宋"/>
                <w:sz w:val="24"/>
                <w:szCs w:val="24"/>
                <w:highlight w:val="none"/>
              </w:rPr>
              <w:t>（</w:t>
            </w:r>
            <w:r>
              <w:rPr>
                <w:rFonts w:hint="eastAsia" w:ascii="仿宋" w:hAnsi="仿宋" w:eastAsia="仿宋" w:cs="仿宋"/>
                <w:sz w:val="24"/>
                <w:szCs w:val="24"/>
                <w:highlight w:val="none"/>
                <w:lang w:eastAsia="zh-CN"/>
              </w:rPr>
              <w:t>详见第四章</w:t>
            </w:r>
            <w:r>
              <w:rPr>
                <w:rFonts w:hint="eastAsia" w:ascii="仿宋" w:hAnsi="仿宋" w:eastAsia="仿宋" w:cs="仿宋"/>
                <w:sz w:val="24"/>
                <w:szCs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5"/>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投标报价含运费、设备费、耗材费、人工费、搬运费、税率、包材、安装费、保修费、人员交通费等一切费用，但不包含食宿费，食宿由甲方安排提供。</w:t>
            </w:r>
          </w:p>
          <w:p>
            <w:pPr>
              <w:numPr>
                <w:ilvl w:val="0"/>
                <w:numId w:val="5"/>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付款方式</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1.费用给付进度及结算：合同签订后支付合同价款的30%，发货前支付合同价</w:t>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0%，工程结束经验收合格后付至合同价的70%，工程结束审计后付至审计价的95%,剩余5%作为工程的保修金，保修期满（贰年后）无质量问题付清。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13</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6"/>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highlight w:val="yellow"/>
          <w:lang w:eastAsia="zh-CN"/>
        </w:rPr>
      </w:pPr>
      <w:r>
        <w:rPr>
          <w:rFonts w:hint="eastAsia" w:ascii="黑体" w:hAnsi="黑体" w:eastAsia="黑体" w:cs="黑体"/>
          <w:b/>
          <w:bCs/>
          <w:sz w:val="28"/>
          <w:szCs w:val="28"/>
          <w:highlight w:val="yellow"/>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eastAsia="zh-CN"/>
        </w:rPr>
        <w:t>①</w:t>
      </w:r>
      <w:r>
        <w:rPr>
          <w:rFonts w:hint="eastAsia" w:ascii="仿宋" w:hAnsi="仿宋" w:eastAsia="仿宋" w:cs="仿宋"/>
          <w:b/>
          <w:bCs/>
          <w:sz w:val="24"/>
          <w:szCs w:val="28"/>
        </w:rPr>
        <w:t>、</w:t>
      </w:r>
      <w:r>
        <w:rPr>
          <w:rFonts w:hint="eastAsia" w:ascii="仿宋" w:hAnsi="仿宋" w:eastAsia="仿宋" w:cs="仿宋"/>
          <w:b/>
          <w:bCs/>
          <w:sz w:val="24"/>
          <w:szCs w:val="24"/>
        </w:rPr>
        <w:t>投标函（见</w:t>
      </w:r>
      <w:r>
        <w:rPr>
          <w:rFonts w:hint="eastAsia" w:ascii="仿宋" w:hAnsi="仿宋" w:eastAsia="仿宋" w:cs="仿宋"/>
          <w:b/>
          <w:bCs/>
          <w:sz w:val="24"/>
          <w:szCs w:val="24"/>
          <w:lang w:eastAsia="zh-CN"/>
        </w:rPr>
        <w:t>附件</w:t>
      </w:r>
      <w:r>
        <w:rPr>
          <w:rFonts w:hint="eastAsia" w:ascii="仿宋" w:hAnsi="仿宋" w:eastAsia="仿宋" w:cs="仿宋"/>
          <w:b/>
          <w:bCs/>
          <w:sz w:val="24"/>
          <w:szCs w:val="24"/>
        </w:rPr>
        <w:t>1）</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eastAsia="zh-CN"/>
        </w:rPr>
        <w:t>②</w:t>
      </w:r>
      <w:r>
        <w:rPr>
          <w:rFonts w:hint="eastAsia" w:ascii="仿宋" w:hAnsi="仿宋" w:eastAsia="仿宋" w:cs="仿宋"/>
          <w:b/>
          <w:bCs/>
          <w:sz w:val="24"/>
          <w:szCs w:val="24"/>
        </w:rPr>
        <w:t>、投标承诺函（见</w:t>
      </w:r>
      <w:r>
        <w:rPr>
          <w:rFonts w:hint="eastAsia" w:ascii="仿宋" w:hAnsi="仿宋" w:eastAsia="仿宋" w:cs="仿宋"/>
          <w:b/>
          <w:bCs/>
          <w:sz w:val="24"/>
          <w:szCs w:val="24"/>
          <w:lang w:eastAsia="zh-CN"/>
        </w:rPr>
        <w:t>附件</w:t>
      </w:r>
      <w:r>
        <w:rPr>
          <w:rFonts w:hint="eastAsia" w:ascii="仿宋" w:hAnsi="仿宋" w:eastAsia="仿宋" w:cs="仿宋"/>
          <w:b/>
          <w:bCs/>
          <w:sz w:val="24"/>
          <w:szCs w:val="24"/>
        </w:rPr>
        <w:t>2）</w:t>
      </w:r>
    </w:p>
    <w:p>
      <w:pPr>
        <w:numPr>
          <w:ilvl w:val="255"/>
          <w:numId w:val="0"/>
        </w:numPr>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③、廉洁经营特别约定条款（见附件</w:t>
      </w:r>
      <w:r>
        <w:rPr>
          <w:rFonts w:hint="eastAsia" w:ascii="仿宋" w:hAnsi="仿宋" w:eastAsia="仿宋" w:cs="仿宋"/>
          <w:b/>
          <w:bCs/>
          <w:sz w:val="24"/>
          <w:szCs w:val="24"/>
          <w:lang w:val="en-US" w:eastAsia="zh-CN"/>
        </w:rPr>
        <w:t>3</w:t>
      </w:r>
      <w:r>
        <w:rPr>
          <w:rFonts w:hint="eastAsia" w:ascii="仿宋" w:hAnsi="仿宋" w:eastAsia="仿宋" w:cs="仿宋"/>
          <w:b/>
          <w:bCs/>
          <w:sz w:val="24"/>
          <w:szCs w:val="24"/>
          <w:lang w:eastAsia="zh-CN"/>
        </w:rPr>
        <w:t>）</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eastAsia="zh-CN"/>
        </w:rPr>
        <w:t>④</w:t>
      </w:r>
      <w:r>
        <w:rPr>
          <w:rFonts w:hint="eastAsia" w:ascii="仿宋" w:hAnsi="仿宋" w:eastAsia="仿宋" w:cs="仿宋"/>
          <w:b/>
          <w:bCs/>
          <w:sz w:val="24"/>
          <w:szCs w:val="24"/>
        </w:rPr>
        <w:t>、法定代表人授权委托书（见</w:t>
      </w:r>
      <w:r>
        <w:rPr>
          <w:rFonts w:hint="eastAsia" w:ascii="仿宋" w:hAnsi="仿宋" w:eastAsia="仿宋" w:cs="仿宋"/>
          <w:b/>
          <w:bCs/>
          <w:sz w:val="24"/>
          <w:szCs w:val="24"/>
          <w:lang w:eastAsia="zh-CN"/>
        </w:rPr>
        <w:t>附件</w:t>
      </w:r>
      <w:r>
        <w:rPr>
          <w:rFonts w:hint="eastAsia" w:ascii="仿宋" w:hAnsi="仿宋" w:eastAsia="仿宋" w:cs="仿宋"/>
          <w:b/>
          <w:bCs/>
          <w:sz w:val="24"/>
          <w:szCs w:val="24"/>
          <w:lang w:val="en-US" w:eastAsia="zh-CN"/>
        </w:rPr>
        <w:t>4</w:t>
      </w:r>
      <w:r>
        <w:rPr>
          <w:rFonts w:hint="eastAsia" w:ascii="仿宋" w:hAnsi="仿宋" w:eastAsia="仿宋" w:cs="仿宋"/>
          <w:b/>
          <w:bCs/>
          <w:sz w:val="24"/>
          <w:szCs w:val="24"/>
        </w:rPr>
        <w:t>）</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eastAsia="zh-CN"/>
        </w:rPr>
        <w:t>⑤</w:t>
      </w:r>
      <w:r>
        <w:rPr>
          <w:rFonts w:hint="eastAsia" w:ascii="仿宋" w:hAnsi="仿宋" w:eastAsia="仿宋" w:cs="仿宋"/>
          <w:b/>
          <w:bCs/>
          <w:sz w:val="24"/>
          <w:szCs w:val="24"/>
        </w:rPr>
        <w:t>、法定代表人身份证明</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8"/>
          <w:lang w:eastAsia="zh-CN"/>
        </w:rPr>
        <w:t>⑥</w:t>
      </w:r>
      <w:r>
        <w:rPr>
          <w:rFonts w:hint="eastAsia" w:ascii="仿宋" w:hAnsi="仿宋" w:eastAsia="仿宋" w:cs="仿宋"/>
          <w:b/>
          <w:bCs/>
          <w:sz w:val="24"/>
          <w:szCs w:val="24"/>
        </w:rPr>
        <w:t>、企业营业执照复印件、资质证书、安全生产许可证</w:t>
      </w:r>
      <w:r>
        <w:rPr>
          <w:rFonts w:hint="eastAsia" w:ascii="仿宋" w:hAnsi="仿宋" w:eastAsia="仿宋" w:cs="仿宋"/>
          <w:b/>
          <w:bCs/>
          <w:sz w:val="24"/>
          <w:szCs w:val="24"/>
          <w:lang w:eastAsia="zh-CN"/>
        </w:rPr>
        <w:t>、</w:t>
      </w:r>
      <w:r>
        <w:rPr>
          <w:rFonts w:hint="eastAsia" w:ascii="仿宋" w:hAnsi="仿宋" w:eastAsia="仿宋" w:cs="仿宋"/>
          <w:b/>
          <w:bCs/>
          <w:sz w:val="24"/>
          <w:szCs w:val="24"/>
          <w:lang w:val="en-US" w:eastAsia="zh-CN"/>
        </w:rPr>
        <w:t>质量管理体系认证证书</w:t>
      </w:r>
      <w:r>
        <w:rPr>
          <w:rFonts w:hint="eastAsia" w:ascii="仿宋" w:hAnsi="仿宋" w:eastAsia="仿宋" w:cs="仿宋"/>
          <w:b/>
          <w:bCs/>
          <w:sz w:val="24"/>
          <w:szCs w:val="24"/>
        </w:rPr>
        <w:t>等（加盖公章）</w:t>
      </w:r>
    </w:p>
    <w:p>
      <w:pPr>
        <w:numPr>
          <w:ilvl w:val="255"/>
          <w:numId w:val="0"/>
        </w:numPr>
        <w:spacing w:line="360" w:lineRule="auto"/>
        <w:rPr>
          <w:rFonts w:hint="eastAsia" w:ascii="仿宋" w:hAnsi="仿宋" w:eastAsia="仿宋" w:cs="仿宋"/>
          <w:b/>
          <w:bCs/>
          <w:sz w:val="24"/>
          <w:szCs w:val="28"/>
        </w:rPr>
      </w:pPr>
      <w:r>
        <w:rPr>
          <w:rFonts w:hint="eastAsia" w:ascii="仿宋" w:hAnsi="仿宋" w:eastAsia="仿宋" w:cs="仿宋"/>
          <w:b/>
          <w:bCs/>
          <w:sz w:val="24"/>
          <w:szCs w:val="28"/>
          <w:lang w:eastAsia="zh-CN"/>
        </w:rPr>
        <w:t>⑦</w:t>
      </w:r>
      <w:r>
        <w:rPr>
          <w:rFonts w:hint="eastAsia" w:ascii="仿宋" w:hAnsi="仿宋" w:eastAsia="仿宋" w:cs="仿宋"/>
          <w:b/>
          <w:bCs/>
          <w:sz w:val="24"/>
          <w:szCs w:val="28"/>
        </w:rPr>
        <w:t>、</w:t>
      </w:r>
      <w:r>
        <w:rPr>
          <w:rFonts w:hint="eastAsia" w:ascii="仿宋" w:hAnsi="仿宋" w:eastAsia="仿宋" w:cs="仿宋"/>
          <w:b/>
          <w:bCs/>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lang w:eastAsia="zh-CN"/>
        </w:rPr>
        <w:t>①</w:t>
      </w:r>
      <w:r>
        <w:rPr>
          <w:rFonts w:hint="eastAsia" w:ascii="仿宋" w:hAnsi="仿宋" w:eastAsia="仿宋" w:cs="仿宋"/>
          <w:b/>
          <w:bCs/>
          <w:sz w:val="24"/>
          <w:szCs w:val="24"/>
          <w:highlight w:val="none"/>
        </w:rPr>
        <w:t>、投标人情况介绍（</w:t>
      </w:r>
      <w:r>
        <w:rPr>
          <w:rFonts w:hint="eastAsia" w:ascii="仿宋" w:hAnsi="仿宋" w:eastAsia="仿宋" w:cs="仿宋"/>
          <w:b/>
          <w:bCs/>
          <w:sz w:val="24"/>
          <w:szCs w:val="24"/>
          <w:highlight w:val="none"/>
          <w:lang w:eastAsia="zh-CN"/>
        </w:rPr>
        <w:t>主要经营范围</w:t>
      </w:r>
      <w:r>
        <w:rPr>
          <w:rFonts w:hint="eastAsia" w:ascii="仿宋" w:hAnsi="仿宋" w:eastAsia="仿宋" w:cs="仿宋"/>
          <w:b/>
          <w:bCs/>
          <w:sz w:val="24"/>
          <w:szCs w:val="24"/>
          <w:highlight w:val="none"/>
        </w:rPr>
        <w:t>、技术力量、规模、经营业绩）</w:t>
      </w:r>
    </w:p>
    <w:p>
      <w:pPr>
        <w:numPr>
          <w:ilvl w:val="255"/>
          <w:numId w:val="0"/>
        </w:numPr>
        <w:spacing w:line="360" w:lineRule="auto"/>
        <w:rPr>
          <w:rFonts w:hint="eastAsia" w:ascii="仿宋" w:hAnsi="仿宋" w:eastAsia="仿宋" w:cs="仿宋"/>
          <w:b/>
          <w:bCs/>
          <w:sz w:val="24"/>
          <w:szCs w:val="24"/>
          <w:highlight w:val="none"/>
          <w:lang w:eastAsia="zh-CN"/>
        </w:rPr>
      </w:pPr>
      <w:r>
        <w:rPr>
          <w:rFonts w:hint="eastAsia" w:ascii="仿宋" w:hAnsi="仿宋" w:eastAsia="仿宋" w:cs="仿宋"/>
          <w:b/>
          <w:bCs/>
          <w:sz w:val="24"/>
          <w:szCs w:val="24"/>
          <w:highlight w:val="none"/>
          <w:lang w:eastAsia="zh-CN"/>
        </w:rPr>
        <w:t>②</w:t>
      </w:r>
      <w:r>
        <w:rPr>
          <w:rFonts w:hint="eastAsia" w:ascii="仿宋" w:hAnsi="仿宋" w:eastAsia="仿宋" w:cs="仿宋"/>
          <w:b/>
          <w:bCs/>
          <w:sz w:val="24"/>
          <w:szCs w:val="24"/>
          <w:highlight w:val="none"/>
        </w:rPr>
        <w:t>、</w:t>
      </w:r>
      <w:r>
        <w:rPr>
          <w:rFonts w:hint="eastAsia" w:ascii="仿宋" w:hAnsi="仿宋" w:eastAsia="仿宋" w:cs="仿宋"/>
          <w:b/>
          <w:bCs/>
          <w:sz w:val="24"/>
          <w:szCs w:val="24"/>
          <w:highlight w:val="none"/>
          <w:lang w:eastAsia="zh-CN"/>
        </w:rPr>
        <w:t>投标报价书</w:t>
      </w:r>
    </w:p>
    <w:p>
      <w:pPr>
        <w:numPr>
          <w:ilvl w:val="255"/>
          <w:numId w:val="0"/>
        </w:numPr>
        <w:spacing w:line="360" w:lineRule="auto"/>
        <w:rPr>
          <w:rFonts w:hint="eastAsia" w:ascii="仿宋" w:hAnsi="仿宋" w:eastAsia="仿宋" w:cs="仿宋"/>
          <w:b/>
          <w:bCs/>
          <w:sz w:val="24"/>
          <w:szCs w:val="24"/>
          <w:highlight w:val="none"/>
          <w:lang w:eastAsia="zh-CN"/>
        </w:rPr>
      </w:pPr>
      <w:r>
        <w:rPr>
          <w:rFonts w:hint="eastAsia" w:ascii="仿宋" w:hAnsi="仿宋" w:eastAsia="仿宋" w:cs="仿宋"/>
          <w:b/>
          <w:bCs/>
          <w:sz w:val="24"/>
          <w:szCs w:val="24"/>
          <w:highlight w:val="none"/>
          <w:lang w:eastAsia="zh-CN"/>
        </w:rPr>
        <w:t>③、宴会厅全息投影解决方案书</w:t>
      </w:r>
    </w:p>
    <w:p>
      <w:pPr>
        <w:numPr>
          <w:ilvl w:val="255"/>
          <w:numId w:val="0"/>
        </w:numPr>
        <w:spacing w:line="360" w:lineRule="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eastAsia="zh-CN"/>
        </w:rPr>
        <w:t>④、</w:t>
      </w:r>
      <w:r>
        <w:rPr>
          <w:rFonts w:hint="eastAsia" w:ascii="仿宋" w:hAnsi="仿宋" w:eastAsia="仿宋" w:cs="仿宋"/>
          <w:b/>
          <w:bCs/>
          <w:color w:val="auto"/>
          <w:sz w:val="24"/>
          <w:szCs w:val="24"/>
          <w:highlight w:val="none"/>
        </w:rPr>
        <w:t>类似成功案例的业绩证明（投标人同类项目实施情况一览表、合同复印件、用户验收单报告复印件</w:t>
      </w:r>
      <w:r>
        <w:rPr>
          <w:rFonts w:hint="eastAsia" w:ascii="仿宋" w:hAnsi="仿宋" w:eastAsia="仿宋" w:cs="仿宋"/>
          <w:b/>
          <w:bCs/>
          <w:color w:val="auto"/>
          <w:sz w:val="24"/>
          <w:szCs w:val="24"/>
          <w:highlight w:val="none"/>
          <w:lang w:eastAsia="zh-CN"/>
        </w:rPr>
        <w:t>等</w:t>
      </w:r>
      <w:r>
        <w:rPr>
          <w:rFonts w:hint="eastAsia" w:ascii="仿宋" w:hAnsi="仿宋" w:eastAsia="仿宋" w:cs="仿宋"/>
          <w:b/>
          <w:bCs/>
          <w:color w:val="auto"/>
          <w:sz w:val="24"/>
          <w:szCs w:val="24"/>
          <w:highlight w:val="none"/>
        </w:rPr>
        <w:t>）</w:t>
      </w:r>
    </w:p>
    <w:p>
      <w:pPr>
        <w:numPr>
          <w:ilvl w:val="255"/>
          <w:numId w:val="0"/>
        </w:numPr>
        <w:spacing w:line="360" w:lineRule="auto"/>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eastAsia="zh-CN"/>
        </w:rPr>
        <w:t>⑤、本项目团队成员情况表、主设计师简表</w:t>
      </w:r>
    </w:p>
    <w:p>
      <w:pPr>
        <w:numPr>
          <w:ilvl w:val="255"/>
          <w:numId w:val="0"/>
        </w:numPr>
        <w:spacing w:line="360" w:lineRule="auto"/>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eastAsia="zh-CN"/>
        </w:rPr>
        <w:t>⑥、服务承诺书</w:t>
      </w:r>
    </w:p>
    <w:p>
      <w:pPr>
        <w:rPr>
          <w:rFonts w:hint="eastAsia" w:ascii="仿宋" w:hAnsi="仿宋" w:eastAsia="仿宋" w:cs="仿宋"/>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仿宋" w:hAnsi="仿宋" w:eastAsia="仿宋" w:cs="仿宋"/>
          <w:b/>
          <w:bCs/>
          <w:szCs w:val="21"/>
          <w:lang w:eastAsia="zh-CN"/>
        </w:rPr>
        <w:br w:type="page"/>
      </w:r>
    </w:p>
    <w:p>
      <w:pPr>
        <w:pStyle w:val="22"/>
        <w:jc w:val="center"/>
        <w:rPr>
          <w:rFonts w:hint="eastAsia" w:ascii="仿宋" w:hAnsi="仿宋" w:eastAsia="仿宋" w:cs="仿宋"/>
          <w:highlight w:val="yellow"/>
          <w:lang w:eastAsia="zh-CN"/>
        </w:rPr>
      </w:pPr>
      <w:bookmarkStart w:id="4" w:name="_Toc25018"/>
      <w:r>
        <w:rPr>
          <w:rFonts w:hint="eastAsia" w:ascii="仿宋" w:hAnsi="仿宋" w:eastAsia="仿宋" w:cs="仿宋"/>
          <w:highlight w:val="yellow"/>
        </w:rPr>
        <w:t>第</w:t>
      </w:r>
      <w:r>
        <w:rPr>
          <w:rFonts w:hint="eastAsia" w:ascii="仿宋" w:hAnsi="仿宋" w:eastAsia="仿宋" w:cs="仿宋"/>
          <w:highlight w:val="yellow"/>
          <w:lang w:eastAsia="zh-CN"/>
        </w:rPr>
        <w:t>三</w:t>
      </w:r>
      <w:r>
        <w:rPr>
          <w:rFonts w:hint="eastAsia" w:ascii="仿宋" w:hAnsi="仿宋" w:eastAsia="仿宋" w:cs="仿宋"/>
          <w:highlight w:val="yellow"/>
        </w:rPr>
        <w:t>章、</w:t>
      </w:r>
      <w:r>
        <w:rPr>
          <w:rFonts w:hint="eastAsia" w:ascii="仿宋" w:hAnsi="仿宋" w:eastAsia="仿宋" w:cs="仿宋"/>
          <w:highlight w:val="yellow"/>
          <w:lang w:eastAsia="zh-CN"/>
        </w:rPr>
        <w:t>项目要求</w:t>
      </w:r>
      <w:bookmarkEnd w:id="4"/>
    </w:p>
    <w:p>
      <w:pPr>
        <w:rPr>
          <w:rFonts w:hint="eastAsia" w:ascii="仿宋" w:hAnsi="仿宋" w:eastAsia="仿宋" w:cs="仿宋"/>
          <w:b/>
          <w:bCs/>
          <w:sz w:val="24"/>
          <w:szCs w:val="24"/>
          <w:lang w:val="en-US" w:eastAsia="zh-CN"/>
        </w:rPr>
      </w:pPr>
    </w:p>
    <w:p>
      <w:pPr>
        <w:numPr>
          <w:ilvl w:val="0"/>
          <w:numId w:val="0"/>
        </w:numPr>
        <w:ind w:firstLine="480" w:firstLineChars="200"/>
        <w:rPr>
          <w:rFonts w:hint="eastAsia" w:ascii="仿宋" w:hAnsi="仿宋" w:eastAsia="仿宋" w:cs="仿宋"/>
          <w:b w:val="0"/>
          <w:bCs w:val="0"/>
          <w:sz w:val="24"/>
          <w:szCs w:val="24"/>
          <w:lang w:val="en-US" w:eastAsia="zh-CN"/>
        </w:rPr>
      </w:pPr>
      <w:r>
        <w:rPr>
          <w:rFonts w:hint="eastAsia" w:ascii="仿宋" w:hAnsi="仿宋" w:eastAsia="仿宋" w:cs="仿宋"/>
          <w:sz w:val="24"/>
          <w:szCs w:val="24"/>
          <w:lang w:eastAsia="zh-CN"/>
        </w:rPr>
        <w:t>平江府宴会厅位于酒店一层，其墙面的长度约</w:t>
      </w:r>
      <w:r>
        <w:rPr>
          <w:rFonts w:hint="eastAsia" w:ascii="仿宋" w:hAnsi="仿宋" w:eastAsia="仿宋" w:cs="仿宋"/>
          <w:sz w:val="24"/>
          <w:szCs w:val="24"/>
          <w:lang w:val="en-US" w:eastAsia="zh-CN"/>
        </w:rPr>
        <w:t>31m</w:t>
      </w:r>
      <w:r>
        <w:rPr>
          <w:rFonts w:hint="eastAsia" w:ascii="仿宋" w:hAnsi="仿宋" w:eastAsia="仿宋" w:cs="仿宋"/>
          <w:sz w:val="24"/>
          <w:szCs w:val="24"/>
          <w:lang w:eastAsia="zh-CN"/>
        </w:rPr>
        <w:t>，宽度约</w:t>
      </w:r>
      <w:r>
        <w:rPr>
          <w:rFonts w:hint="eastAsia" w:ascii="仿宋" w:hAnsi="仿宋" w:eastAsia="仿宋" w:cs="仿宋"/>
          <w:sz w:val="24"/>
          <w:szCs w:val="24"/>
          <w:lang w:val="en-US" w:eastAsia="zh-CN"/>
        </w:rPr>
        <w:t>17.64m，</w:t>
      </w:r>
      <w:r>
        <w:rPr>
          <w:rFonts w:hint="eastAsia" w:ascii="仿宋" w:hAnsi="仿宋" w:eastAsia="仿宋" w:cs="仿宋"/>
          <w:sz w:val="24"/>
          <w:szCs w:val="24"/>
          <w:lang w:eastAsia="zh-CN"/>
        </w:rPr>
        <w:t>墙面高度约</w:t>
      </w:r>
      <w:r>
        <w:rPr>
          <w:rFonts w:hint="eastAsia" w:ascii="仿宋" w:hAnsi="仿宋" w:eastAsia="仿宋" w:cs="仿宋"/>
          <w:sz w:val="24"/>
          <w:szCs w:val="24"/>
          <w:lang w:val="en-US" w:eastAsia="zh-CN"/>
        </w:rPr>
        <w:t>4.7m，悬挂双层幕布区域共3面墙，设置T形舞台和新娘秀展示台具体见下图一，需要有全息投影效果，天花板将改造为星空顶，为保证宴会厅改造的整体效果，其中硬装施工由甲方实施，但投标单位所供方案的所有设计由投标单位提供，</w:t>
      </w:r>
      <w:r>
        <w:rPr>
          <w:rFonts w:hint="eastAsia" w:ascii="仿宋" w:hAnsi="仿宋" w:eastAsia="仿宋" w:cs="仿宋"/>
          <w:b w:val="0"/>
          <w:bCs w:val="0"/>
          <w:sz w:val="24"/>
          <w:szCs w:val="24"/>
          <w:lang w:val="en-US" w:eastAsia="zh-CN"/>
        </w:rPr>
        <w:t>本次招标为设计施工一体，投标单位需要提供</w:t>
      </w:r>
      <w:r>
        <w:rPr>
          <w:rFonts w:hint="eastAsia" w:ascii="仿宋" w:hAnsi="仿宋" w:eastAsia="仿宋" w:cs="仿宋"/>
          <w:b/>
          <w:bCs/>
          <w:sz w:val="24"/>
          <w:szCs w:val="24"/>
          <w:lang w:val="en-US" w:eastAsia="zh-CN"/>
        </w:rPr>
        <w:t>方案设计图、效果图、深化图、施工图、灯光点位图等方案所涉图纸的深化，并达到施工标准。除需甲方配合施工部分外，其余部分均要投标单位实施落地</w:t>
      </w:r>
      <w:r>
        <w:rPr>
          <w:rFonts w:hint="eastAsia" w:ascii="仿宋" w:hAnsi="仿宋" w:eastAsia="仿宋" w:cs="仿宋"/>
          <w:b w:val="0"/>
          <w:bCs w:val="0"/>
          <w:sz w:val="24"/>
          <w:szCs w:val="24"/>
          <w:lang w:val="en-US" w:eastAsia="zh-CN"/>
        </w:rPr>
        <w:t>。</w:t>
      </w:r>
    </w:p>
    <w:p>
      <w:pPr>
        <w:numPr>
          <w:ilvl w:val="0"/>
          <w:numId w:val="7"/>
        </w:num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项目要求：</w:t>
      </w:r>
    </w:p>
    <w:p>
      <w:pPr>
        <w:numPr>
          <w:ilvl w:val="0"/>
          <w:numId w:val="8"/>
        </w:num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因考虑到宴会厅里有4根承重柱、2个空调排风口（下图黄框）和整体视觉效果，我方初步想法见下图一：</w:t>
      </w:r>
    </w:p>
    <w:p>
      <w:pPr>
        <w:numPr>
          <w:ilvl w:val="0"/>
          <w:numId w:val="0"/>
        </w:num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drawing>
          <wp:inline distT="0" distB="0" distL="114300" distR="114300">
            <wp:extent cx="5758815" cy="3639820"/>
            <wp:effectExtent l="0" t="0" r="13335" b="17780"/>
            <wp:docPr id="3" name="图片 3" descr="7f7e6b12c527fb2251bf54b4e2095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7f7e6b12c527fb2251bf54b4e2095fa"/>
                    <pic:cNvPicPr>
                      <a:picLocks noChangeAspect="1"/>
                    </pic:cNvPicPr>
                  </pic:nvPicPr>
                  <pic:blipFill>
                    <a:blip r:embed="rId5"/>
                    <a:stretch>
                      <a:fillRect/>
                    </a:stretch>
                  </pic:blipFill>
                  <pic:spPr>
                    <a:xfrm>
                      <a:off x="0" y="0"/>
                      <a:ext cx="5758815" cy="3639820"/>
                    </a:xfrm>
                    <a:prstGeom prst="rect">
                      <a:avLst/>
                    </a:prstGeom>
                  </pic:spPr>
                </pic:pic>
              </a:graphicData>
            </a:graphic>
          </wp:inline>
        </w:drawing>
      </w:r>
    </w:p>
    <w:p>
      <w:pPr>
        <w:numPr>
          <w:ilvl w:val="0"/>
          <w:numId w:val="0"/>
        </w:numPr>
        <w:jc w:val="center"/>
        <w:rPr>
          <w:rFonts w:hint="eastAsia" w:ascii="华文新魏" w:hAnsi="华文新魏" w:eastAsia="华文新魏" w:cs="华文新魏"/>
          <w:b w:val="0"/>
          <w:bCs w:val="0"/>
          <w:sz w:val="24"/>
          <w:szCs w:val="24"/>
          <w:lang w:val="en-US" w:eastAsia="zh-CN"/>
        </w:rPr>
      </w:pPr>
      <w:r>
        <w:rPr>
          <w:rFonts w:hint="eastAsia" w:ascii="华文新魏" w:hAnsi="华文新魏" w:eastAsia="华文新魏" w:cs="华文新魏"/>
          <w:b w:val="0"/>
          <w:bCs w:val="0"/>
          <w:sz w:val="24"/>
          <w:szCs w:val="24"/>
          <w:lang w:val="en-US" w:eastAsia="zh-CN"/>
        </w:rPr>
        <w:t>图一：宴会厅平面修改图</w:t>
      </w:r>
    </w:p>
    <w:p>
      <w:pPr>
        <w:numPr>
          <w:ilvl w:val="0"/>
          <w:numId w:val="9"/>
        </w:num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蓝色线为隐藏式电动投影双层幕布（白玻纤+纱幕）悬挂区域；</w:t>
      </w:r>
    </w:p>
    <w:p>
      <w:pPr>
        <w:numPr>
          <w:ilvl w:val="0"/>
          <w:numId w:val="9"/>
        </w:num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黄色框为排风口区域，将设置移动架（甲方提供）。以阻挡空调回风对投影幕布造成的影响；</w:t>
      </w:r>
    </w:p>
    <w:p>
      <w:pPr>
        <w:numPr>
          <w:ilvl w:val="0"/>
          <w:numId w:val="9"/>
        </w:num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红色框将改成主舞台，需要有全息投影效果，灯光效果。</w:t>
      </w:r>
    </w:p>
    <w:p>
      <w:pPr>
        <w:numPr>
          <w:ilvl w:val="0"/>
          <w:numId w:val="9"/>
        </w:num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红色箭头线为走道，需要有全息投影效果，灯光效果。</w:t>
      </w:r>
    </w:p>
    <w:p>
      <w:pPr>
        <w:numPr>
          <w:ilvl w:val="0"/>
          <w:numId w:val="9"/>
        </w:num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红色圆圈为婚礼新娘展示台区域，需要有全息投影效果，灯光效果。</w:t>
      </w:r>
    </w:p>
    <w:p>
      <w:pPr>
        <w:numPr>
          <w:ilvl w:val="0"/>
          <w:numId w:val="0"/>
        </w:numPr>
        <w:rPr>
          <w:rFonts w:hint="eastAsia" w:ascii="仿宋" w:hAnsi="仿宋" w:eastAsia="仿宋" w:cs="仿宋"/>
          <w:b w:val="0"/>
          <w:bCs w:val="0"/>
          <w:sz w:val="24"/>
          <w:szCs w:val="24"/>
          <w:lang w:val="en-US" w:eastAsia="zh-CN"/>
        </w:rPr>
      </w:pPr>
    </w:p>
    <w:p>
      <w:pPr>
        <w:numPr>
          <w:ilvl w:val="0"/>
          <w:numId w:val="8"/>
        </w:numPr>
        <w:ind w:left="0" w:leftChars="0" w:firstLine="0" w:firstLineChars="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全息投影解决方案需要考虑如下要求：</w:t>
      </w:r>
    </w:p>
    <w:p>
      <w:pPr>
        <w:numPr>
          <w:ilvl w:val="0"/>
          <w:numId w:val="10"/>
        </w:numPr>
        <w:ind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甲方需要配合的软硬装施工（施工需要提供专业深化图纸，甲方按照要求施工）及需要配备的设备，硬装部分均由甲方施工。</w:t>
      </w:r>
    </w:p>
    <w:p>
      <w:pPr>
        <w:numPr>
          <w:ilvl w:val="0"/>
          <w:numId w:val="10"/>
        </w:numPr>
        <w:ind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设计上需要考虑到整体视觉效果最佳，除全息投影外，需要带有相关灯光效果，软装效果。</w:t>
      </w:r>
    </w:p>
    <w:p>
      <w:pPr>
        <w:numPr>
          <w:ilvl w:val="0"/>
          <w:numId w:val="10"/>
        </w:numPr>
        <w:ind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酒店宴会厅不同场景的应用及场景视频应用的可持续性：如婚宴、生日宴、公司年会、节日等</w:t>
      </w:r>
    </w:p>
    <w:p>
      <w:pPr>
        <w:numPr>
          <w:ilvl w:val="0"/>
          <w:numId w:val="10"/>
        </w:numPr>
        <w:ind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系统软件功能支持手机、电脑等投屏；视频、图片、文字可自由更换。</w:t>
      </w:r>
    </w:p>
    <w:p>
      <w:pPr>
        <w:numPr>
          <w:ilvl w:val="0"/>
          <w:numId w:val="0"/>
        </w:numPr>
        <w:rPr>
          <w:rFonts w:hint="eastAsia" w:ascii="仿宋" w:hAnsi="仿宋" w:eastAsia="仿宋" w:cs="仿宋"/>
          <w:b w:val="0"/>
          <w:bCs w:val="0"/>
          <w:sz w:val="24"/>
          <w:szCs w:val="24"/>
          <w:lang w:val="en-US" w:eastAsia="zh-CN"/>
        </w:rPr>
      </w:pPr>
    </w:p>
    <w:p>
      <w:pPr>
        <w:rPr>
          <w:rFonts w:hint="eastAsia" w:ascii="仿宋" w:hAnsi="仿宋" w:eastAsia="仿宋" w:cs="仿宋"/>
          <w:b w:val="0"/>
          <w:bCs w:val="0"/>
          <w:sz w:val="24"/>
          <w:szCs w:val="24"/>
          <w:lang w:val="en-US" w:eastAsia="zh-CN"/>
        </w:rPr>
      </w:pPr>
    </w:p>
    <w:p>
      <w:pPr>
        <w:numPr>
          <w:ilvl w:val="0"/>
          <w:numId w:val="7"/>
        </w:numPr>
        <w:ind w:left="0" w:leftChars="0" w:firstLine="0" w:firstLineChars="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报价要求</w:t>
      </w:r>
    </w:p>
    <w:p>
      <w:pPr>
        <w:numPr>
          <w:ilvl w:val="0"/>
          <w:numId w:val="11"/>
        </w:numPr>
        <w:ind w:leftChars="0"/>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lang w:val="en-US" w:eastAsia="zh-CN"/>
        </w:rPr>
        <w:t>设备及耗材：如：投影仪、中控、音响等等列明。</w:t>
      </w:r>
    </w:p>
    <w:p>
      <w:pPr>
        <w:numPr>
          <w:ilvl w:val="0"/>
          <w:numId w:val="0"/>
        </w:numP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lang w:val="en-US" w:eastAsia="zh-CN"/>
        </w:rPr>
        <w:t>①必须注明所需</w:t>
      </w:r>
      <w:r>
        <w:rPr>
          <w:rFonts w:hint="eastAsia" w:ascii="仿宋" w:hAnsi="仿宋" w:eastAsia="仿宋" w:cs="仿宋"/>
          <w:b w:val="0"/>
          <w:bCs w:val="0"/>
          <w:sz w:val="24"/>
          <w:szCs w:val="24"/>
          <w:vertAlign w:val="baseline"/>
          <w:lang w:val="en-US" w:eastAsia="zh-CN"/>
        </w:rPr>
        <w:t>设备的</w:t>
      </w:r>
      <w:r>
        <w:rPr>
          <w:rFonts w:hint="eastAsia" w:ascii="仿宋" w:hAnsi="仿宋" w:eastAsia="仿宋" w:cs="仿宋"/>
          <w:b/>
          <w:bCs/>
          <w:sz w:val="24"/>
          <w:szCs w:val="24"/>
          <w:vertAlign w:val="baseline"/>
          <w:lang w:val="en-US" w:eastAsia="zh-CN"/>
        </w:rPr>
        <w:t>详细参数</w:t>
      </w:r>
      <w:r>
        <w:rPr>
          <w:rFonts w:hint="eastAsia" w:ascii="仿宋" w:hAnsi="仿宋" w:eastAsia="仿宋" w:cs="仿宋"/>
          <w:b w:val="0"/>
          <w:bCs w:val="0"/>
          <w:sz w:val="24"/>
          <w:szCs w:val="24"/>
          <w:vertAlign w:val="baseline"/>
          <w:lang w:val="en-US" w:eastAsia="zh-CN"/>
        </w:rPr>
        <w:t>（品名、参数、品牌型号等）、</w:t>
      </w:r>
      <w:r>
        <w:rPr>
          <w:rFonts w:hint="eastAsia" w:ascii="仿宋" w:hAnsi="仿宋" w:eastAsia="仿宋" w:cs="仿宋"/>
          <w:b/>
          <w:bCs/>
          <w:sz w:val="24"/>
          <w:szCs w:val="24"/>
          <w:vertAlign w:val="baseline"/>
          <w:lang w:val="en-US" w:eastAsia="zh-CN"/>
        </w:rPr>
        <w:t>使用数量</w:t>
      </w:r>
      <w:r>
        <w:rPr>
          <w:rFonts w:hint="eastAsia" w:ascii="仿宋" w:hAnsi="仿宋" w:eastAsia="仿宋" w:cs="仿宋"/>
          <w:b w:val="0"/>
          <w:bCs w:val="0"/>
          <w:sz w:val="24"/>
          <w:szCs w:val="24"/>
          <w:vertAlign w:val="baseline"/>
          <w:lang w:val="en-US" w:eastAsia="zh-CN"/>
        </w:rPr>
        <w:t>，</w:t>
      </w:r>
      <w:r>
        <w:rPr>
          <w:rFonts w:hint="eastAsia" w:ascii="仿宋" w:hAnsi="仿宋" w:eastAsia="仿宋" w:cs="仿宋"/>
          <w:b/>
          <w:bCs/>
          <w:sz w:val="24"/>
          <w:szCs w:val="24"/>
          <w:vertAlign w:val="baseline"/>
          <w:lang w:val="en-US" w:eastAsia="zh-CN"/>
        </w:rPr>
        <w:t>质保期，单价</w:t>
      </w:r>
      <w:r>
        <w:rPr>
          <w:rFonts w:hint="eastAsia" w:ascii="仿宋" w:hAnsi="仿宋" w:eastAsia="仿宋" w:cs="仿宋"/>
          <w:b w:val="0"/>
          <w:bCs w:val="0"/>
          <w:sz w:val="24"/>
          <w:szCs w:val="24"/>
          <w:vertAlign w:val="baseline"/>
          <w:lang w:val="en-US" w:eastAsia="zh-CN"/>
        </w:rPr>
        <w:t>。</w:t>
      </w:r>
    </w:p>
    <w:p>
      <w:pPr>
        <w:numPr>
          <w:ilvl w:val="0"/>
          <w:numId w:val="0"/>
        </w:numP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②其中投影仪为工程激光投影仪，不得低于2K分辨率（1980*1080），流明不低于5000</w:t>
      </w:r>
      <w:bookmarkStart w:id="9" w:name="_GoBack"/>
      <w:bookmarkEnd w:id="9"/>
      <w:r>
        <w:rPr>
          <w:rFonts w:hint="eastAsia" w:ascii="仿宋" w:hAnsi="仿宋" w:eastAsia="仿宋" w:cs="仿宋"/>
          <w:b w:val="0"/>
          <w:bCs w:val="0"/>
          <w:sz w:val="24"/>
          <w:szCs w:val="24"/>
          <w:vertAlign w:val="baseline"/>
          <w:lang w:val="en-US" w:eastAsia="zh-CN"/>
        </w:rPr>
        <w:t>。</w:t>
      </w:r>
    </w:p>
    <w:p>
      <w:pPr>
        <w:numPr>
          <w:ilvl w:val="0"/>
          <w:numId w:val="0"/>
        </w:numP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③其中投影幕布（白玻纤+纱幕）及附属材料由投标单位提供，开槽由甲方施工，投标单位安装。</w:t>
      </w:r>
    </w:p>
    <w:p>
      <w:pPr>
        <w:numPr>
          <w:ilvl w:val="0"/>
          <w:numId w:val="0"/>
        </w:numPr>
        <w:rPr>
          <w:rFonts w:hint="eastAsia"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④所涉硬装部分均由甲方施工，请报价时注意扣除此部分费用。</w:t>
      </w:r>
    </w:p>
    <w:p>
      <w:pPr>
        <w:numPr>
          <w:ilvl w:val="0"/>
          <w:numId w:val="11"/>
        </w:numPr>
        <w:ind w:leftChars="0"/>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软件系统：软件可实现的功能进行详细介绍。</w:t>
      </w:r>
    </w:p>
    <w:p>
      <w:pPr>
        <w:numPr>
          <w:ilvl w:val="0"/>
          <w:numId w:val="11"/>
        </w:numPr>
        <w:ind w:leftChars="0"/>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视频素材：投标单位的提供使用的基本视频素材不得有版权纠纷，注明可永久提供甲方使用的视频素材数量，是否后续可持续更新，若有，是否收费，注明费用。另是否可提供专属视频定制服务，专属视频定制报价注明。</w:t>
      </w:r>
    </w:p>
    <w:p>
      <w:pPr>
        <w:numPr>
          <w:ilvl w:val="0"/>
          <w:numId w:val="11"/>
        </w:numPr>
        <w:ind w:leftChars="0"/>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后续维护：是否有维护费，是否收费。</w:t>
      </w:r>
    </w:p>
    <w:p>
      <w:pPr>
        <w:numPr>
          <w:ilvl w:val="0"/>
          <w:numId w:val="11"/>
        </w:numPr>
        <w:ind w:leftChars="0"/>
        <w:rPr>
          <w:rFonts w:hint="default" w:ascii="仿宋" w:hAnsi="仿宋" w:eastAsia="仿宋" w:cs="仿宋"/>
          <w:b w:val="0"/>
          <w:bCs w:val="0"/>
          <w:sz w:val="24"/>
          <w:szCs w:val="24"/>
          <w:vertAlign w:val="baseline"/>
          <w:lang w:val="en-US" w:eastAsia="zh-CN"/>
        </w:rPr>
      </w:pPr>
      <w:r>
        <w:rPr>
          <w:rFonts w:hint="eastAsia" w:ascii="仿宋" w:hAnsi="仿宋" w:eastAsia="仿宋" w:cs="仿宋"/>
          <w:b w:val="0"/>
          <w:bCs w:val="0"/>
          <w:sz w:val="24"/>
          <w:szCs w:val="24"/>
          <w:vertAlign w:val="baseline"/>
          <w:lang w:val="en-US" w:eastAsia="zh-CN"/>
        </w:rPr>
        <w:t>投标报价为含税报价，必须注明税率，且开正规增值税专用发票。</w:t>
      </w:r>
    </w:p>
    <w:p>
      <w:pPr>
        <w:numPr>
          <w:ilvl w:val="0"/>
          <w:numId w:val="11"/>
        </w:numPr>
        <w:ind w:left="0" w:leftChars="0" w:firstLine="0" w:firstLine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投标报价含运费、设备费、设备调试费、耗材费、人工费、搬运费、税率、包材、安装费、保修费、人员交通费等一切费用，但不包含食宿费，食宿由甲方安排提供。</w:t>
      </w:r>
    </w:p>
    <w:p>
      <w:pPr>
        <w:rPr>
          <w:rFonts w:hint="eastAsia" w:ascii="仿宋" w:hAnsi="仿宋" w:eastAsia="仿宋" w:cs="仿宋"/>
          <w:b w:val="0"/>
          <w:bCs w:val="0"/>
          <w:sz w:val="24"/>
          <w:szCs w:val="24"/>
          <w:lang w:val="en-US" w:eastAsia="zh-CN"/>
        </w:rPr>
      </w:pPr>
    </w:p>
    <w:p>
      <w:p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三、工期:实施工期计划安排</w:t>
      </w:r>
    </w:p>
    <w:p>
      <w:pPr>
        <w:rPr>
          <w:rFonts w:hint="default" w:ascii="仿宋" w:hAnsi="仿宋" w:eastAsia="仿宋" w:cs="仿宋"/>
          <w:b w:val="0"/>
          <w:bCs w:val="0"/>
          <w:sz w:val="24"/>
          <w:szCs w:val="24"/>
          <w:lang w:val="en-US" w:eastAsia="zh-CN"/>
        </w:rPr>
      </w:pPr>
    </w:p>
    <w:p>
      <w:p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四、其他要求：</w:t>
      </w:r>
    </w:p>
    <w:p>
      <w:p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乙方承诺相关设计符合甲方的要求，如乙方设计方案无法在施工中得到实现，乙方必须无条件进行修正。</w:t>
      </w:r>
    </w:p>
    <w:p>
      <w:p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乙方所完成的设计内容，应符合现行法律法规的规定，包括但不限于消防、安全等（消防级别应区别于硬装消防要求，由甲乙双方视项目具体情况共同确定），且满足现有的施工和甲方的需要。</w:t>
      </w:r>
    </w:p>
    <w:p>
      <w:pPr>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乙方应按合同约定向甲方提交项目的全部设计文件。</w:t>
      </w:r>
    </w:p>
    <w:p>
      <w:pPr>
        <w:pStyle w:val="22"/>
        <w:jc w:val="cente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22"/>
        <w:jc w:val="center"/>
        <w:rPr>
          <w:rFonts w:hint="eastAsia" w:ascii="仿宋" w:hAnsi="仿宋" w:eastAsia="仿宋" w:cs="仿宋"/>
          <w:lang w:eastAsia="zh-CN"/>
        </w:rPr>
      </w:pPr>
      <w:bookmarkStart w:id="5" w:name="_Toc11427"/>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评分标准</w:t>
      </w:r>
      <w:bookmarkEnd w:id="5"/>
    </w:p>
    <w:tbl>
      <w:tblPr>
        <w:tblStyle w:val="23"/>
        <w:tblpPr w:leftFromText="180" w:rightFromText="180" w:vertAnchor="text" w:horzAnchor="page" w:tblpX="1511" w:tblpY="303"/>
        <w:tblOverlap w:val="never"/>
        <w:tblW w:w="8855" w:type="dxa"/>
        <w:tblInd w:w="0" w:type="dxa"/>
        <w:tblLayout w:type="fixed"/>
        <w:tblCellMar>
          <w:top w:w="0" w:type="dxa"/>
          <w:left w:w="0" w:type="dxa"/>
          <w:bottom w:w="0" w:type="dxa"/>
          <w:right w:w="0" w:type="dxa"/>
        </w:tblCellMar>
      </w:tblPr>
      <w:tblGrid>
        <w:gridCol w:w="993"/>
        <w:gridCol w:w="1134"/>
        <w:gridCol w:w="850"/>
        <w:gridCol w:w="4678"/>
        <w:gridCol w:w="1200"/>
      </w:tblGrid>
      <w:tr>
        <w:tblPrEx>
          <w:tblCellMar>
            <w:top w:w="0" w:type="dxa"/>
            <w:left w:w="0" w:type="dxa"/>
            <w:bottom w:w="0" w:type="dxa"/>
            <w:right w:w="0" w:type="dxa"/>
          </w:tblCellMar>
        </w:tblPrEx>
        <w:trPr>
          <w:trHeight w:val="680" w:hRule="atLeast"/>
        </w:trPr>
        <w:tc>
          <w:tcPr>
            <w:tcW w:w="99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评分项目</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评审内容</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分值(分)</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评分标准</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宋体" w:hAnsi="宋体"/>
                <w:szCs w:val="21"/>
              </w:rPr>
            </w:pPr>
            <w:r>
              <w:rPr>
                <w:rFonts w:hint="eastAsia" w:ascii="仿宋" w:hAnsi="仿宋" w:eastAsia="仿宋" w:cs="仿宋"/>
                <w:sz w:val="24"/>
                <w:szCs w:val="24"/>
              </w:rPr>
              <w:t>得分(分)</w:t>
            </w:r>
          </w:p>
        </w:tc>
      </w:tr>
      <w:tr>
        <w:tblPrEx>
          <w:tblCellMar>
            <w:top w:w="0" w:type="dxa"/>
            <w:left w:w="0" w:type="dxa"/>
            <w:bottom w:w="0" w:type="dxa"/>
            <w:right w:w="0" w:type="dxa"/>
          </w:tblCellMar>
        </w:tblPrEx>
        <w:trPr>
          <w:trHeight w:val="1785" w:hRule="atLeast"/>
        </w:trPr>
        <w:tc>
          <w:tcPr>
            <w:tcW w:w="993"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sz w:val="24"/>
                <w:szCs w:val="24"/>
                <w:lang w:eastAsia="zh-CN"/>
              </w:rPr>
            </w:pPr>
            <w:r>
              <w:rPr>
                <w:rFonts w:hint="eastAsia" w:ascii="仿宋" w:hAnsi="仿宋" w:eastAsia="仿宋" w:cs="仿宋"/>
                <w:sz w:val="24"/>
                <w:szCs w:val="24"/>
                <w:lang w:eastAsia="zh-CN"/>
              </w:rPr>
              <w:t>企业（</w:t>
            </w:r>
            <w:r>
              <w:rPr>
                <w:rFonts w:hint="eastAsia" w:ascii="仿宋" w:hAnsi="仿宋" w:eastAsia="仿宋" w:cs="仿宋"/>
                <w:sz w:val="24"/>
                <w:szCs w:val="24"/>
                <w:lang w:val="en-US" w:eastAsia="zh-CN"/>
              </w:rPr>
              <w:t>20分</w:t>
            </w:r>
            <w:r>
              <w:rPr>
                <w:rFonts w:hint="eastAsia" w:ascii="仿宋" w:hAnsi="仿宋" w:eastAsia="仿宋" w:cs="仿宋"/>
                <w:sz w:val="24"/>
                <w:szCs w:val="24"/>
                <w:lang w:eastAsia="zh-CN"/>
              </w:rPr>
              <w:t>）</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以往业绩</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hint="eastAsia" w:ascii="仿宋" w:hAnsi="仿宋" w:eastAsia="仿宋" w:cs="仿宋"/>
                <w:sz w:val="24"/>
                <w:szCs w:val="24"/>
                <w:lang w:eastAsia="zh-CN"/>
              </w:rPr>
            </w:pPr>
            <w:r>
              <w:rPr>
                <w:rFonts w:hint="eastAsia" w:ascii="仿宋" w:hAnsi="仿宋" w:eastAsia="仿宋" w:cs="仿宋"/>
                <w:sz w:val="24"/>
                <w:szCs w:val="24"/>
              </w:rPr>
              <w:t>投标人近五年内，企业承担过类似项目的，</w:t>
            </w:r>
            <w:r>
              <w:rPr>
                <w:rFonts w:hint="eastAsia" w:ascii="仿宋" w:hAnsi="仿宋" w:eastAsia="仿宋" w:cs="仿宋"/>
                <w:sz w:val="24"/>
                <w:szCs w:val="24"/>
                <w:lang w:eastAsia="zh-CN"/>
              </w:rPr>
              <w:t>且合同金额在</w:t>
            </w:r>
            <w:r>
              <w:rPr>
                <w:rFonts w:hint="eastAsia" w:ascii="仿宋" w:hAnsi="仿宋" w:eastAsia="仿宋" w:cs="仿宋"/>
                <w:sz w:val="24"/>
                <w:szCs w:val="24"/>
                <w:lang w:val="en-US" w:eastAsia="zh-CN"/>
              </w:rPr>
              <w:t>35万以上，</w:t>
            </w:r>
            <w:r>
              <w:rPr>
                <w:rFonts w:hint="eastAsia" w:ascii="仿宋" w:hAnsi="仿宋" w:eastAsia="仿宋" w:cs="仿宋"/>
                <w:sz w:val="24"/>
                <w:szCs w:val="24"/>
              </w:rPr>
              <w:t>有一个得</w:t>
            </w:r>
            <w:r>
              <w:rPr>
                <w:rFonts w:hint="eastAsia" w:ascii="仿宋" w:hAnsi="仿宋" w:eastAsia="仿宋" w:cs="仿宋"/>
                <w:sz w:val="24"/>
                <w:szCs w:val="24"/>
                <w:lang w:val="en-US" w:eastAsia="zh-CN"/>
              </w:rPr>
              <w:t>2.5</w:t>
            </w:r>
            <w:r>
              <w:rPr>
                <w:rFonts w:hint="eastAsia" w:ascii="仿宋" w:hAnsi="仿宋" w:eastAsia="仿宋" w:cs="仿宋"/>
                <w:sz w:val="24"/>
                <w:szCs w:val="24"/>
              </w:rPr>
              <w:t>分，最高得</w:t>
            </w:r>
            <w:r>
              <w:rPr>
                <w:rFonts w:hint="eastAsia" w:ascii="仿宋" w:hAnsi="仿宋" w:eastAsia="仿宋" w:cs="仿宋"/>
                <w:sz w:val="24"/>
                <w:szCs w:val="24"/>
                <w:lang w:val="en-US" w:eastAsia="zh-CN"/>
              </w:rPr>
              <w:t>10</w:t>
            </w:r>
            <w:r>
              <w:rPr>
                <w:rFonts w:hint="eastAsia" w:ascii="仿宋" w:hAnsi="仿宋" w:eastAsia="仿宋" w:cs="仿宋"/>
                <w:sz w:val="24"/>
                <w:szCs w:val="24"/>
              </w:rPr>
              <w:t>分。</w:t>
            </w:r>
            <w:r>
              <w:rPr>
                <w:rFonts w:hint="eastAsia" w:ascii="仿宋" w:hAnsi="仿宋" w:eastAsia="仿宋" w:cs="仿宋"/>
                <w:sz w:val="24"/>
                <w:szCs w:val="24"/>
                <w:lang w:eastAsia="zh-CN"/>
              </w:rPr>
              <w:t>（需要提供合同复印件复核）</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宋体" w:hAnsi="宋体"/>
                <w:szCs w:val="21"/>
              </w:rPr>
            </w:pPr>
          </w:p>
        </w:tc>
      </w:tr>
      <w:tr>
        <w:tblPrEx>
          <w:tblCellMar>
            <w:top w:w="0" w:type="dxa"/>
            <w:left w:w="0" w:type="dxa"/>
            <w:bottom w:w="0" w:type="dxa"/>
            <w:right w:w="0" w:type="dxa"/>
          </w:tblCellMar>
        </w:tblPrEx>
        <w:trPr>
          <w:trHeight w:val="1507"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sz w:val="24"/>
                <w:szCs w:val="24"/>
              </w:rPr>
            </w:pP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获奖情况</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6</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hint="default" w:ascii="仿宋" w:hAnsi="仿宋" w:eastAsia="仿宋" w:cs="仿宋"/>
                <w:sz w:val="24"/>
                <w:szCs w:val="24"/>
                <w:lang w:val="en-US" w:eastAsia="zh-CN"/>
              </w:rPr>
            </w:pPr>
            <w:r>
              <w:rPr>
                <w:rFonts w:hint="eastAsia" w:ascii="仿宋" w:hAnsi="仿宋" w:eastAsia="仿宋" w:cs="仿宋"/>
                <w:sz w:val="24"/>
                <w:szCs w:val="24"/>
              </w:rPr>
              <w:t>投标人近五年内</w:t>
            </w:r>
            <w:r>
              <w:rPr>
                <w:rFonts w:hint="eastAsia" w:ascii="仿宋" w:hAnsi="仿宋" w:eastAsia="仿宋" w:cs="仿宋"/>
                <w:sz w:val="24"/>
                <w:szCs w:val="24"/>
                <w:lang w:eastAsia="zh-CN"/>
              </w:rPr>
              <w:t>，</w:t>
            </w:r>
            <w:r>
              <w:rPr>
                <w:rFonts w:hint="eastAsia" w:ascii="仿宋" w:hAnsi="仿宋" w:eastAsia="仿宋" w:cs="仿宋"/>
                <w:sz w:val="24"/>
                <w:szCs w:val="24"/>
              </w:rPr>
              <w:t>类似项目</w:t>
            </w:r>
            <w:r>
              <w:rPr>
                <w:rFonts w:hint="eastAsia" w:ascii="仿宋" w:hAnsi="仿宋" w:eastAsia="仿宋" w:cs="仿宋"/>
                <w:sz w:val="24"/>
                <w:szCs w:val="24"/>
                <w:lang w:eastAsia="zh-CN"/>
              </w:rPr>
              <w:t>有获奖经历</w:t>
            </w:r>
            <w:r>
              <w:rPr>
                <w:rFonts w:hint="eastAsia" w:ascii="仿宋" w:hAnsi="仿宋" w:eastAsia="仿宋" w:cs="仿宋"/>
                <w:sz w:val="24"/>
                <w:szCs w:val="24"/>
              </w:rPr>
              <w:t>，有一个得3</w:t>
            </w:r>
            <w:r>
              <w:rPr>
                <w:rFonts w:hint="eastAsia" w:ascii="仿宋" w:hAnsi="仿宋" w:eastAsia="仿宋" w:cs="仿宋"/>
                <w:sz w:val="24"/>
                <w:szCs w:val="24"/>
                <w:lang w:eastAsia="zh-CN"/>
              </w:rPr>
              <w:t>分，最高</w:t>
            </w:r>
            <w:r>
              <w:rPr>
                <w:rFonts w:hint="eastAsia" w:ascii="仿宋" w:hAnsi="仿宋" w:eastAsia="仿宋" w:cs="仿宋"/>
                <w:sz w:val="24"/>
                <w:szCs w:val="24"/>
                <w:lang w:val="en-US" w:eastAsia="zh-CN"/>
              </w:rPr>
              <w:t>6分</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宋体" w:hAnsi="宋体"/>
                <w:szCs w:val="21"/>
              </w:rPr>
            </w:pPr>
          </w:p>
        </w:tc>
      </w:tr>
      <w:tr>
        <w:tblPrEx>
          <w:tblCellMar>
            <w:top w:w="0" w:type="dxa"/>
            <w:left w:w="0" w:type="dxa"/>
            <w:bottom w:w="0" w:type="dxa"/>
            <w:right w:w="0" w:type="dxa"/>
          </w:tblCellMar>
        </w:tblPrEx>
        <w:trPr>
          <w:trHeight w:val="1684" w:hRule="atLeast"/>
        </w:trPr>
        <w:tc>
          <w:tcPr>
            <w:tcW w:w="9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sz w:val="24"/>
                <w:szCs w:val="24"/>
              </w:rPr>
            </w:pP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企业信誉</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4</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numPr>
                <w:ilvl w:val="0"/>
                <w:numId w:val="0"/>
              </w:numPr>
              <w:adjustRightInd/>
              <w:spacing w:line="320" w:lineRule="exact"/>
              <w:textAlignment w:val="auto"/>
              <w:rPr>
                <w:rFonts w:hint="eastAsia" w:ascii="仿宋" w:hAnsi="仿宋" w:eastAsia="仿宋" w:cs="仿宋"/>
                <w:sz w:val="24"/>
                <w:szCs w:val="24"/>
              </w:rPr>
            </w:pPr>
          </w:p>
          <w:p>
            <w:pPr>
              <w:numPr>
                <w:ilvl w:val="0"/>
                <w:numId w:val="12"/>
              </w:numPr>
              <w:adjustRightInd/>
              <w:spacing w:line="320" w:lineRule="exact"/>
              <w:textAlignment w:val="auto"/>
              <w:rPr>
                <w:rFonts w:hint="eastAsia" w:ascii="仿宋" w:hAnsi="仿宋" w:eastAsia="仿宋" w:cs="仿宋"/>
                <w:sz w:val="24"/>
                <w:szCs w:val="24"/>
              </w:rPr>
            </w:pPr>
            <w:r>
              <w:rPr>
                <w:rFonts w:hint="eastAsia" w:ascii="仿宋" w:hAnsi="仿宋" w:eastAsia="仿宋" w:cs="仿宋"/>
                <w:sz w:val="24"/>
                <w:szCs w:val="24"/>
              </w:rPr>
              <w:t>企业设计研发能力：企业评定为省级国家高新技术企业且在认证有效期内的，得</w:t>
            </w:r>
            <w:r>
              <w:rPr>
                <w:rFonts w:hint="eastAsia" w:ascii="仿宋" w:hAnsi="仿宋" w:eastAsia="仿宋" w:cs="仿宋"/>
                <w:sz w:val="24"/>
                <w:szCs w:val="24"/>
                <w:lang w:val="en-US" w:eastAsia="zh-CN"/>
              </w:rPr>
              <w:t>2</w:t>
            </w:r>
            <w:r>
              <w:rPr>
                <w:rFonts w:hint="eastAsia" w:ascii="仿宋" w:hAnsi="仿宋" w:eastAsia="仿宋" w:cs="仿宋"/>
                <w:sz w:val="24"/>
                <w:szCs w:val="24"/>
              </w:rPr>
              <w:t>分</w:t>
            </w:r>
            <w:r>
              <w:rPr>
                <w:rFonts w:hint="eastAsia" w:ascii="仿宋" w:hAnsi="仿宋" w:eastAsia="仿宋" w:cs="仿宋"/>
                <w:sz w:val="24"/>
                <w:szCs w:val="24"/>
                <w:lang w:eastAsia="zh-CN"/>
              </w:rPr>
              <w:t>。</w:t>
            </w:r>
          </w:p>
          <w:p>
            <w:pPr>
              <w:numPr>
                <w:ilvl w:val="0"/>
                <w:numId w:val="12"/>
              </w:numPr>
              <w:adjustRightInd/>
              <w:spacing w:line="320" w:lineRule="exact"/>
              <w:textAlignment w:val="auto"/>
              <w:rPr>
                <w:rFonts w:hint="eastAsia" w:ascii="仿宋" w:hAnsi="仿宋" w:eastAsia="仿宋" w:cs="仿宋"/>
                <w:sz w:val="24"/>
                <w:szCs w:val="24"/>
              </w:rPr>
            </w:pPr>
            <w:r>
              <w:rPr>
                <w:rFonts w:hint="eastAsia" w:ascii="仿宋" w:hAnsi="仿宋" w:eastAsia="仿宋" w:cs="仿宋"/>
                <w:sz w:val="24"/>
                <w:szCs w:val="24"/>
                <w:lang w:eastAsia="zh-CN"/>
              </w:rPr>
              <w:t>企业信誉等级：</w:t>
            </w:r>
            <w:r>
              <w:rPr>
                <w:rFonts w:hint="eastAsia" w:ascii="仿宋" w:hAnsi="仿宋" w:eastAsia="仿宋" w:cs="仿宋"/>
                <w:sz w:val="24"/>
                <w:szCs w:val="24"/>
                <w:lang w:val="en-US" w:eastAsia="zh-CN"/>
              </w:rPr>
              <w:t>AAA得2分，AA得1分，A得0.5分</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宋体" w:hAnsi="宋体"/>
                <w:szCs w:val="21"/>
              </w:rPr>
            </w:pPr>
          </w:p>
        </w:tc>
      </w:tr>
      <w:tr>
        <w:tblPrEx>
          <w:tblCellMar>
            <w:top w:w="0" w:type="dxa"/>
            <w:left w:w="0" w:type="dxa"/>
            <w:bottom w:w="0" w:type="dxa"/>
            <w:right w:w="0" w:type="dxa"/>
          </w:tblCellMar>
        </w:tblPrEx>
        <w:trPr>
          <w:trHeight w:val="1324" w:hRule="atLeast"/>
        </w:trPr>
        <w:tc>
          <w:tcPr>
            <w:tcW w:w="993"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全息投影解决方案（</w:t>
            </w:r>
            <w:r>
              <w:rPr>
                <w:rFonts w:hint="eastAsia" w:ascii="仿宋" w:hAnsi="仿宋" w:eastAsia="仿宋" w:cs="仿宋"/>
                <w:sz w:val="24"/>
                <w:szCs w:val="24"/>
                <w:lang w:val="en-US" w:eastAsia="zh-CN"/>
              </w:rPr>
              <w:t>35</w:t>
            </w:r>
            <w:r>
              <w:rPr>
                <w:rFonts w:hint="eastAsia" w:ascii="仿宋" w:hAnsi="仿宋" w:eastAsia="仿宋" w:cs="仿宋"/>
                <w:sz w:val="24"/>
                <w:szCs w:val="24"/>
                <w:lang w:eastAsia="zh-CN"/>
              </w:rPr>
              <w:t>）</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设计创意</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25</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rPr>
                <w:rFonts w:hint="default" w:ascii="仿宋" w:hAnsi="仿宋" w:eastAsia="仿宋" w:cs="仿宋"/>
                <w:sz w:val="24"/>
                <w:szCs w:val="24"/>
                <w:lang w:val="en-US" w:eastAsia="zh-CN"/>
              </w:rPr>
            </w:pPr>
            <w:r>
              <w:rPr>
                <w:rFonts w:hint="eastAsia" w:ascii="仿宋" w:hAnsi="仿宋" w:eastAsia="仿宋" w:cs="仿宋"/>
                <w:sz w:val="24"/>
                <w:szCs w:val="24"/>
                <w:lang w:eastAsia="zh-CN"/>
              </w:rPr>
              <w:t>根据设计创意性、理念先进性、功能合理性进行评分，很满意得</w:t>
            </w:r>
            <w:r>
              <w:rPr>
                <w:rFonts w:hint="eastAsia" w:ascii="仿宋" w:hAnsi="仿宋" w:eastAsia="仿宋" w:cs="仿宋"/>
                <w:sz w:val="24"/>
                <w:szCs w:val="24"/>
                <w:lang w:val="en-US" w:eastAsia="zh-CN"/>
              </w:rPr>
              <w:t>20-25分，满意得15-19，较满意得8-14分，一般得1-7分</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宋体" w:hAnsi="宋体"/>
                <w:szCs w:val="21"/>
              </w:rPr>
            </w:pPr>
          </w:p>
        </w:tc>
      </w:tr>
      <w:tr>
        <w:tblPrEx>
          <w:tblCellMar>
            <w:top w:w="0" w:type="dxa"/>
            <w:left w:w="0" w:type="dxa"/>
            <w:bottom w:w="0" w:type="dxa"/>
            <w:right w:w="0" w:type="dxa"/>
          </w:tblCellMar>
        </w:tblPrEx>
        <w:trPr>
          <w:trHeight w:val="1324" w:hRule="atLeast"/>
        </w:trPr>
        <w:tc>
          <w:tcPr>
            <w:tcW w:w="993"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现场讲解</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10</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rPr>
                <w:rFonts w:hint="default" w:ascii="仿宋" w:hAnsi="仿宋" w:eastAsia="仿宋" w:cs="仿宋"/>
                <w:sz w:val="24"/>
                <w:szCs w:val="24"/>
                <w:lang w:val="en-US" w:eastAsia="zh-CN"/>
              </w:rPr>
            </w:pPr>
            <w:r>
              <w:rPr>
                <w:rFonts w:hint="eastAsia" w:ascii="仿宋" w:hAnsi="仿宋" w:eastAsia="仿宋" w:cs="仿宋"/>
                <w:sz w:val="24"/>
                <w:szCs w:val="24"/>
                <w:lang w:eastAsia="zh-CN"/>
              </w:rPr>
              <w:t>根据现场讲解人对投标单位案讲解和提问解答沟通进行评分</w:t>
            </w:r>
            <w:r>
              <w:rPr>
                <w:rFonts w:hint="eastAsia" w:ascii="仿宋" w:hAnsi="仿宋" w:eastAsia="仿宋" w:cs="仿宋"/>
                <w:sz w:val="24"/>
                <w:szCs w:val="24"/>
                <w:lang w:val="en-US" w:eastAsia="zh-CN"/>
              </w:rPr>
              <w:t xml:space="preserve"> 。好得8-10分。较好得4-7分，一般得1-3分</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宋体" w:hAnsi="宋体"/>
                <w:szCs w:val="21"/>
              </w:rPr>
            </w:pPr>
          </w:p>
        </w:tc>
      </w:tr>
      <w:tr>
        <w:tblPrEx>
          <w:tblCellMar>
            <w:top w:w="0" w:type="dxa"/>
            <w:left w:w="0" w:type="dxa"/>
            <w:bottom w:w="0" w:type="dxa"/>
            <w:right w:w="0" w:type="dxa"/>
          </w:tblCellMar>
        </w:tblPrEx>
        <w:trPr>
          <w:trHeight w:val="1324" w:hRule="atLeast"/>
        </w:trPr>
        <w:tc>
          <w:tcPr>
            <w:tcW w:w="99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lang w:eastAsia="zh-CN"/>
              </w:rPr>
              <w:t>团队</w:t>
            </w:r>
            <w:r>
              <w:rPr>
                <w:rFonts w:hint="eastAsia" w:ascii="仿宋" w:hAnsi="仿宋" w:eastAsia="仿宋" w:cs="仿宋"/>
                <w:sz w:val="24"/>
                <w:szCs w:val="24"/>
              </w:rPr>
              <w:t>(</w:t>
            </w:r>
            <w:r>
              <w:rPr>
                <w:rFonts w:hint="eastAsia" w:ascii="仿宋" w:hAnsi="仿宋" w:eastAsia="仿宋" w:cs="仿宋"/>
                <w:sz w:val="24"/>
                <w:szCs w:val="24"/>
                <w:lang w:val="en-US" w:eastAsia="zh-CN"/>
              </w:rPr>
              <w:t>6</w:t>
            </w:r>
            <w:r>
              <w:rPr>
                <w:rFonts w:hint="eastAsia" w:ascii="仿宋" w:hAnsi="仿宋" w:eastAsia="仿宋" w:cs="仿宋"/>
                <w:sz w:val="24"/>
                <w:szCs w:val="24"/>
              </w:rPr>
              <w:t>分)</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主设计师或团队施工成员业绩</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6</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w:t>
            </w:r>
            <w:r>
              <w:rPr>
                <w:rFonts w:hint="eastAsia" w:ascii="仿宋" w:hAnsi="仿宋" w:eastAsia="仿宋" w:cs="仿宋"/>
                <w:sz w:val="24"/>
                <w:szCs w:val="24"/>
                <w:lang w:eastAsia="zh-CN"/>
              </w:rPr>
              <w:t>投标人主设计师资质及同类设计项目经验（需提供相关资料佐证）</w:t>
            </w:r>
            <w:r>
              <w:rPr>
                <w:rFonts w:hint="eastAsia" w:ascii="仿宋" w:hAnsi="仿宋" w:eastAsia="仿宋" w:cs="仿宋"/>
                <w:sz w:val="24"/>
                <w:szCs w:val="24"/>
                <w:lang w:val="en-US" w:eastAsia="zh-CN"/>
              </w:rPr>
              <w:t>，最高4分；</w:t>
            </w:r>
            <w:r>
              <w:rPr>
                <w:rFonts w:hint="eastAsia" w:ascii="仿宋" w:hAnsi="仿宋" w:eastAsia="仿宋" w:cs="仿宋"/>
                <w:sz w:val="24"/>
                <w:szCs w:val="24"/>
                <w:lang w:val="en-US" w:eastAsia="zh-CN"/>
              </w:rPr>
              <w:br w:type="textWrapping"/>
            </w:r>
            <w:r>
              <w:rPr>
                <w:rFonts w:hint="eastAsia" w:ascii="仿宋" w:hAnsi="仿宋" w:eastAsia="仿宋" w:cs="仿宋"/>
                <w:sz w:val="24"/>
                <w:szCs w:val="24"/>
                <w:lang w:val="en-US" w:eastAsia="zh-CN"/>
              </w:rPr>
              <w:t>2、</w:t>
            </w:r>
            <w:r>
              <w:rPr>
                <w:rFonts w:hint="eastAsia" w:ascii="仿宋" w:hAnsi="仿宋" w:eastAsia="仿宋" w:cs="仿宋"/>
                <w:sz w:val="24"/>
                <w:szCs w:val="24"/>
                <w:lang w:eastAsia="zh-CN"/>
              </w:rPr>
              <w:t>团队施工成员有相关证书视情况提供得分，最高</w:t>
            </w:r>
            <w:r>
              <w:rPr>
                <w:rFonts w:hint="eastAsia" w:ascii="仿宋" w:hAnsi="仿宋" w:eastAsia="仿宋" w:cs="仿宋"/>
                <w:sz w:val="24"/>
                <w:szCs w:val="24"/>
                <w:lang w:val="en-US" w:eastAsia="zh-CN"/>
              </w:rPr>
              <w:t>2分</w:t>
            </w:r>
            <w:r>
              <w:rPr>
                <w:rFonts w:hint="eastAsia" w:ascii="仿宋" w:hAnsi="仿宋" w:eastAsia="仿宋" w:cs="仿宋"/>
                <w:sz w:val="24"/>
                <w:szCs w:val="24"/>
                <w:lang w:eastAsia="zh-CN"/>
              </w:rPr>
              <w:t>。</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ascii="宋体" w:hAnsi="宋体"/>
                <w:szCs w:val="21"/>
              </w:rPr>
            </w:pPr>
          </w:p>
        </w:tc>
      </w:tr>
      <w:tr>
        <w:tblPrEx>
          <w:tblCellMar>
            <w:top w:w="0" w:type="dxa"/>
            <w:left w:w="0" w:type="dxa"/>
            <w:bottom w:w="0" w:type="dxa"/>
            <w:right w:w="0" w:type="dxa"/>
          </w:tblCellMar>
        </w:tblPrEx>
        <w:trPr>
          <w:trHeight w:val="680" w:hRule="atLeast"/>
        </w:trPr>
        <w:tc>
          <w:tcPr>
            <w:tcW w:w="993"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服务保证</w:t>
            </w:r>
          </w:p>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4</w:t>
            </w:r>
            <w:r>
              <w:rPr>
                <w:rFonts w:hint="eastAsia" w:ascii="仿宋" w:hAnsi="仿宋" w:eastAsia="仿宋" w:cs="仿宋"/>
                <w:sz w:val="24"/>
                <w:szCs w:val="24"/>
              </w:rPr>
              <w:t>分)</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保证设计质量、</w:t>
            </w:r>
            <w:r>
              <w:rPr>
                <w:rFonts w:hint="eastAsia" w:ascii="仿宋" w:hAnsi="仿宋" w:eastAsia="仿宋" w:cs="仿宋"/>
                <w:sz w:val="24"/>
                <w:szCs w:val="24"/>
                <w:lang w:eastAsia="zh-CN"/>
              </w:rPr>
              <w:t>施工</w:t>
            </w:r>
            <w:r>
              <w:rPr>
                <w:rFonts w:hint="eastAsia" w:ascii="仿宋" w:hAnsi="仿宋" w:eastAsia="仿宋" w:cs="仿宋"/>
                <w:sz w:val="24"/>
                <w:szCs w:val="24"/>
              </w:rPr>
              <w:t>进度</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hint="eastAsia" w:ascii="仿宋" w:hAnsi="仿宋" w:eastAsia="仿宋" w:cs="仿宋"/>
                <w:sz w:val="24"/>
                <w:szCs w:val="24"/>
              </w:rPr>
            </w:pPr>
            <w:r>
              <w:rPr>
                <w:rFonts w:hint="eastAsia" w:ascii="仿宋" w:hAnsi="仿宋" w:eastAsia="仿宋" w:cs="仿宋"/>
                <w:sz w:val="24"/>
                <w:szCs w:val="24"/>
              </w:rPr>
              <w:t>根据投标人所提出的保证设计质量、</w:t>
            </w:r>
            <w:r>
              <w:rPr>
                <w:rFonts w:hint="eastAsia" w:ascii="仿宋" w:hAnsi="仿宋" w:eastAsia="仿宋" w:cs="仿宋"/>
                <w:sz w:val="24"/>
                <w:szCs w:val="24"/>
                <w:lang w:eastAsia="zh-CN"/>
              </w:rPr>
              <w:t>施工</w:t>
            </w:r>
            <w:r>
              <w:rPr>
                <w:rFonts w:hint="eastAsia" w:ascii="仿宋" w:hAnsi="仿宋" w:eastAsia="仿宋" w:cs="仿宋"/>
                <w:sz w:val="24"/>
                <w:szCs w:val="24"/>
              </w:rPr>
              <w:t>进度计划的措施的科学性、可行性及满足招标文件要求的程度分别进行评分。</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rPr>
                <w:rFonts w:ascii="宋体" w:hAnsi="宋体"/>
                <w:szCs w:val="21"/>
              </w:rPr>
            </w:pPr>
          </w:p>
        </w:tc>
      </w:tr>
      <w:tr>
        <w:tblPrEx>
          <w:tblCellMar>
            <w:top w:w="0" w:type="dxa"/>
            <w:left w:w="0" w:type="dxa"/>
            <w:bottom w:w="0" w:type="dxa"/>
            <w:right w:w="0" w:type="dxa"/>
          </w:tblCellMar>
        </w:tblPrEx>
        <w:trPr>
          <w:trHeight w:val="614" w:hRule="atLeast"/>
        </w:trPr>
        <w:tc>
          <w:tcPr>
            <w:tcW w:w="993" w:type="dxa"/>
            <w:vMerge w:val="continue"/>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服务承诺</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2</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rPr>
                <w:rFonts w:hint="eastAsia" w:ascii="仿宋" w:hAnsi="仿宋" w:eastAsia="仿宋" w:cs="仿宋"/>
                <w:sz w:val="24"/>
                <w:szCs w:val="24"/>
              </w:rPr>
            </w:pPr>
            <w:r>
              <w:rPr>
                <w:rFonts w:hint="eastAsia" w:ascii="仿宋" w:hAnsi="仿宋" w:eastAsia="仿宋" w:cs="仿宋"/>
                <w:sz w:val="24"/>
                <w:szCs w:val="24"/>
              </w:rPr>
              <w:t>服务内容、人员、响应时间等承诺</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rPr>
                <w:rFonts w:ascii="宋体" w:hAnsi="宋体"/>
                <w:szCs w:val="21"/>
              </w:rPr>
            </w:pPr>
          </w:p>
        </w:tc>
      </w:tr>
      <w:tr>
        <w:tblPrEx>
          <w:tblCellMar>
            <w:top w:w="0" w:type="dxa"/>
            <w:left w:w="0" w:type="dxa"/>
            <w:bottom w:w="0" w:type="dxa"/>
            <w:right w:w="0" w:type="dxa"/>
          </w:tblCellMar>
        </w:tblPrEx>
        <w:trPr>
          <w:trHeight w:val="680" w:hRule="atLeast"/>
        </w:trPr>
        <w:tc>
          <w:tcPr>
            <w:tcW w:w="99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spacing w:line="320" w:lineRule="exact"/>
              <w:jc w:val="center"/>
              <w:rPr>
                <w:rFonts w:hint="eastAsia" w:ascii="仿宋" w:hAnsi="仿宋" w:eastAsia="仿宋" w:cs="仿宋"/>
                <w:sz w:val="24"/>
                <w:szCs w:val="24"/>
              </w:rPr>
            </w:pPr>
            <w:r>
              <w:rPr>
                <w:rFonts w:hint="eastAsia" w:ascii="仿宋" w:hAnsi="仿宋" w:eastAsia="仿宋" w:cs="仿宋"/>
                <w:sz w:val="24"/>
                <w:szCs w:val="24"/>
                <w:lang w:eastAsia="zh-CN"/>
              </w:rPr>
              <w:t>投标报价</w:t>
            </w:r>
          </w:p>
          <w:p>
            <w:pPr>
              <w:spacing w:line="320" w:lineRule="exact"/>
              <w:jc w:val="center"/>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35</w:t>
            </w:r>
            <w:r>
              <w:rPr>
                <w:rFonts w:hint="eastAsia" w:ascii="仿宋" w:hAnsi="仿宋" w:eastAsia="仿宋" w:cs="仿宋"/>
                <w:sz w:val="24"/>
                <w:szCs w:val="24"/>
              </w:rPr>
              <w:t>分)</w:t>
            </w:r>
          </w:p>
        </w:tc>
        <w:tc>
          <w:tcPr>
            <w:tcW w:w="1134"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eastAsia" w:ascii="仿宋" w:hAnsi="仿宋" w:eastAsia="仿宋" w:cs="仿宋"/>
                <w:sz w:val="24"/>
                <w:szCs w:val="24"/>
              </w:rPr>
            </w:pPr>
            <w:r>
              <w:rPr>
                <w:rFonts w:hint="eastAsia" w:ascii="仿宋" w:hAnsi="仿宋" w:eastAsia="仿宋" w:cs="仿宋"/>
                <w:sz w:val="24"/>
                <w:szCs w:val="24"/>
              </w:rPr>
              <w:t>价格标准</w:t>
            </w:r>
          </w:p>
        </w:tc>
        <w:tc>
          <w:tcPr>
            <w:tcW w:w="85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35</w:t>
            </w:r>
          </w:p>
        </w:tc>
        <w:tc>
          <w:tcPr>
            <w:tcW w:w="4678"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widowControl/>
              <w:tabs>
                <w:tab w:val="left" w:pos="900"/>
                <w:tab w:val="left" w:pos="1100"/>
              </w:tabs>
              <w:rPr>
                <w:rFonts w:hint="eastAsia" w:ascii="仿宋" w:hAnsi="仿宋" w:eastAsia="仿宋" w:cs="仿宋"/>
                <w:sz w:val="24"/>
                <w:szCs w:val="24"/>
              </w:rPr>
            </w:pPr>
            <w:r>
              <w:rPr>
                <w:rFonts w:hint="eastAsia" w:ascii="仿宋" w:hAnsi="仿宋" w:eastAsia="仿宋" w:cs="仿宋"/>
                <w:sz w:val="24"/>
                <w:szCs w:val="24"/>
              </w:rPr>
              <w:t>价格得分计算方法：根据各投标人通过符合性审查的有效投标报价中的最低价作为评标基准价。价格得分=（评标基准价/投标报价）×</w:t>
            </w:r>
            <w:r>
              <w:rPr>
                <w:rFonts w:hint="eastAsia" w:ascii="仿宋" w:hAnsi="仿宋" w:eastAsia="仿宋" w:cs="仿宋"/>
                <w:sz w:val="24"/>
                <w:szCs w:val="24"/>
                <w:lang w:val="en-US" w:eastAsia="zh-CN"/>
              </w:rPr>
              <w:t>35</w:t>
            </w:r>
            <w:r>
              <w:rPr>
                <w:rFonts w:hint="eastAsia" w:ascii="仿宋" w:hAnsi="仿宋" w:eastAsia="仿宋" w:cs="仿宋"/>
                <w:sz w:val="24"/>
                <w:szCs w:val="24"/>
              </w:rPr>
              <w:t>；（计算到小数点后二位）</w:t>
            </w:r>
          </w:p>
        </w:tc>
        <w:tc>
          <w:tcPr>
            <w:tcW w:w="12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rPr>
                <w:rFonts w:ascii="宋体" w:hAnsi="宋体"/>
                <w:szCs w:val="21"/>
              </w:rPr>
            </w:pPr>
          </w:p>
        </w:tc>
      </w:tr>
    </w:tbl>
    <w:p>
      <w:pPr>
        <w:rPr>
          <w:rFonts w:hint="eastAsia" w:ascii="仿宋" w:hAnsi="仿宋" w:eastAsia="仿宋" w:cs="仿宋"/>
          <w:b w:val="0"/>
          <w:bCs w:val="0"/>
          <w:sz w:val="24"/>
          <w:szCs w:val="24"/>
          <w:lang w:val="en-US" w:eastAsia="zh-CN"/>
        </w:rPr>
      </w:pPr>
    </w:p>
    <w:p>
      <w:pPr>
        <w:rPr>
          <w:rFonts w:hint="eastAsia" w:ascii="仿宋" w:hAnsi="仿宋" w:eastAsia="仿宋" w:cs="仿宋"/>
          <w:b w:val="0"/>
          <w:bCs w:val="0"/>
          <w:sz w:val="24"/>
          <w:szCs w:val="24"/>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rPr>
          <w:rFonts w:hint="eastAsia" w:ascii="Times New Roman" w:hAnsi="Times New Roman" w:eastAsia="宋体" w:cs="Times New Roman"/>
          <w:kern w:val="2"/>
          <w:sz w:val="21"/>
          <w:szCs w:val="22"/>
          <w:lang w:val="en-US" w:eastAsia="zh-CN" w:bidi="ar-SA"/>
        </w:rPr>
      </w:pPr>
    </w:p>
    <w:p>
      <w:pPr>
        <w:tabs>
          <w:tab w:val="left" w:pos="794"/>
        </w:tabs>
        <w:rPr>
          <w:rFonts w:hint="eastAsia"/>
          <w:lang w:eastAsia="zh-CN"/>
        </w:rPr>
      </w:pPr>
    </w:p>
    <w:p>
      <w:pPr>
        <w:pStyle w:val="22"/>
        <w:jc w:val="center"/>
        <w:rPr>
          <w:rFonts w:hint="eastAsia" w:ascii="仿宋" w:hAnsi="仿宋" w:eastAsia="仿宋" w:cs="仿宋"/>
        </w:rPr>
      </w:pPr>
      <w:bookmarkStart w:id="6" w:name="_Toc26765"/>
      <w:bookmarkStart w:id="7" w:name="_Toc6627"/>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9264;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keepNext w:val="0"/>
        <w:keepLines w:val="0"/>
        <w:pageBreakBefore w:val="0"/>
        <w:widowControl w:val="0"/>
        <w:kinsoku/>
        <w:wordWrap w:val="0"/>
        <w:overflowPunct w:val="0"/>
        <w:topLinePunct w:val="0"/>
        <w:autoSpaceDE/>
        <w:autoSpaceDN/>
        <w:bidi w:val="0"/>
        <w:adjustRightInd/>
        <w:snapToGrid/>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eastAsia="zh-CN"/>
        </w:rPr>
        <w:t>SXCG202205-G-008</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p>
    <w:p>
      <w:pPr>
        <w:keepNext w:val="0"/>
        <w:keepLines w:val="0"/>
        <w:pageBreakBefore w:val="0"/>
        <w:widowControl w:val="0"/>
        <w:kinsoku/>
        <w:wordWrap w:val="0"/>
        <w:overflowPunct w:val="0"/>
        <w:topLinePunct w:val="0"/>
        <w:autoSpaceDE/>
        <w:autoSpaceDN/>
        <w:bidi w:val="0"/>
        <w:adjustRightInd/>
        <w:snapToGrid/>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lang w:eastAsia="zh-CN"/>
        </w:rPr>
        <w:t>书香世家平江府酒店宴会厅全息投影改造工程</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苏州书香世家平江府酒店有限公司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widowControl/>
        <w:spacing w:line="360" w:lineRule="auto"/>
        <w:ind w:left="560" w:hanging="480" w:hangingChars="200"/>
        <w:jc w:val="left"/>
        <w:textAlignment w:val="baseline"/>
        <w:rPr>
          <w:rFonts w:hint="default" w:ascii="仿宋" w:hAnsi="仿宋" w:eastAsia="仿宋" w:cs="仿宋"/>
          <w:color w:val="333333"/>
          <w:kern w:val="0"/>
          <w:sz w:val="24"/>
          <w:szCs w:val="24"/>
          <w:lang w:val="en-US" w:eastAsia="zh-CN"/>
        </w:rPr>
      </w:pPr>
    </w:p>
    <w:p>
      <w:pPr>
        <w:widowControl/>
        <w:spacing w:line="360" w:lineRule="auto"/>
        <w:ind w:left="560" w:hanging="480" w:hangingChars="200"/>
        <w:jc w:val="left"/>
        <w:textAlignment w:val="baseline"/>
        <w:rPr>
          <w:rFonts w:hint="default" w:ascii="仿宋" w:hAnsi="仿宋" w:eastAsia="仿宋" w:cs="仿宋"/>
          <w:color w:val="333333"/>
          <w:kern w:val="0"/>
          <w:sz w:val="24"/>
          <w:szCs w:val="24"/>
          <w:lang w:val="en-US" w:eastAsia="zh-CN"/>
        </w:rPr>
      </w:pPr>
    </w:p>
    <w:p>
      <w:pPr>
        <w:widowControl/>
        <w:spacing w:line="360" w:lineRule="auto"/>
        <w:ind w:left="560" w:hanging="480" w:hangingChars="200"/>
        <w:jc w:val="left"/>
        <w:textAlignment w:val="baseline"/>
        <w:rPr>
          <w:rFonts w:hint="default" w:ascii="仿宋" w:hAnsi="仿宋" w:eastAsia="仿宋" w:cs="仿宋"/>
          <w:color w:val="333333"/>
          <w:kern w:val="0"/>
          <w:sz w:val="24"/>
          <w:szCs w:val="24"/>
          <w:lang w:val="en-US" w:eastAsia="zh-CN"/>
        </w:rPr>
      </w:pPr>
    </w:p>
    <w:p>
      <w:pPr>
        <w:pStyle w:val="22"/>
        <w:jc w:val="center"/>
        <w:rPr>
          <w:rFonts w:hint="eastAsia" w:ascii="仿宋" w:hAnsi="仿宋" w:eastAsia="仿宋" w:cs="仿宋"/>
          <w:lang w:eastAsia="zh-CN"/>
        </w:rPr>
      </w:pPr>
      <w:bookmarkStart w:id="8" w:name="_Toc13709"/>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书香世家平江府酒店宴会厅全息投影改造工程</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书香世家平江府酒店宴会厅全息投影改造工程</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书香世家平江府酒店宴会厅全息投影改造工程</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书香世家平江府酒店宴会厅全息投影改造工程</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43EEB0"/>
    <w:multiLevelType w:val="singleLevel"/>
    <w:tmpl w:val="C043EEB0"/>
    <w:lvl w:ilvl="0" w:tentative="0">
      <w:start w:val="1"/>
      <w:numFmt w:val="decimal"/>
      <w:suff w:val="nothing"/>
      <w:lvlText w:val="%1、"/>
      <w:lvlJc w:val="left"/>
    </w:lvl>
  </w:abstractNum>
  <w:abstractNum w:abstractNumId="1">
    <w:nsid w:val="DF5DD972"/>
    <w:multiLevelType w:val="singleLevel"/>
    <w:tmpl w:val="DF5DD972"/>
    <w:lvl w:ilvl="0" w:tentative="0">
      <w:start w:val="1"/>
      <w:numFmt w:val="decimalEnclosedCircleChinese"/>
      <w:suff w:val="nothing"/>
      <w:lvlText w:val="%1、"/>
      <w:lvlJc w:val="left"/>
      <w:rPr>
        <w:rFonts w:hint="eastAsia"/>
      </w:rPr>
    </w:lvl>
  </w:abstractNum>
  <w:abstractNum w:abstractNumId="2">
    <w:nsid w:val="E66A7D0F"/>
    <w:multiLevelType w:val="singleLevel"/>
    <w:tmpl w:val="E66A7D0F"/>
    <w:lvl w:ilvl="0" w:tentative="0">
      <w:start w:val="1"/>
      <w:numFmt w:val="decimalEnclosedCircleChinese"/>
      <w:suff w:val="nothing"/>
      <w:lvlText w:val="%1、"/>
      <w:lvlJc w:val="left"/>
      <w:rPr>
        <w:rFonts w:hint="eastAsia"/>
      </w:rPr>
    </w:lvl>
  </w:abstractNum>
  <w:abstractNum w:abstractNumId="3">
    <w:nsid w:val="F05C9F6A"/>
    <w:multiLevelType w:val="singleLevel"/>
    <w:tmpl w:val="F05C9F6A"/>
    <w:lvl w:ilvl="0" w:tentative="0">
      <w:start w:val="2"/>
      <w:numFmt w:val="chineseCounting"/>
      <w:suff w:val="nothing"/>
      <w:lvlText w:val="第%1节、"/>
      <w:lvlJc w:val="left"/>
      <w:rPr>
        <w:rFonts w:hint="eastAsia"/>
      </w:rPr>
    </w:lvl>
  </w:abstractNum>
  <w:abstractNum w:abstractNumId="4">
    <w:nsid w:val="1A4FBD14"/>
    <w:multiLevelType w:val="singleLevel"/>
    <w:tmpl w:val="1A4FBD14"/>
    <w:lvl w:ilvl="0" w:tentative="0">
      <w:start w:val="1"/>
      <w:numFmt w:val="decimalEnclosedCircleChinese"/>
      <w:suff w:val="nothing"/>
      <w:lvlText w:val="%1、"/>
      <w:lvlJc w:val="left"/>
      <w:rPr>
        <w:rFonts w:hint="eastAsia"/>
      </w:rPr>
    </w:lvl>
  </w:abstractNum>
  <w:abstractNum w:abstractNumId="5">
    <w:nsid w:val="3D593779"/>
    <w:multiLevelType w:val="singleLevel"/>
    <w:tmpl w:val="3D593779"/>
    <w:lvl w:ilvl="0" w:tentative="0">
      <w:start w:val="1"/>
      <w:numFmt w:val="decimalEnclosedCircleChinese"/>
      <w:suff w:val="nothing"/>
      <w:lvlText w:val="%1、"/>
      <w:lvlJc w:val="left"/>
      <w:rPr>
        <w:rFonts w:hint="eastAsia"/>
      </w:rPr>
    </w:lvl>
  </w:abstractNum>
  <w:abstractNum w:abstractNumId="6">
    <w:nsid w:val="4E5A9DEF"/>
    <w:multiLevelType w:val="singleLevel"/>
    <w:tmpl w:val="4E5A9DEF"/>
    <w:lvl w:ilvl="0" w:tentative="0">
      <w:start w:val="1"/>
      <w:numFmt w:val="decimal"/>
      <w:suff w:val="nothing"/>
      <w:lvlText w:val="%1、"/>
      <w:lvlJc w:val="left"/>
    </w:lvl>
  </w:abstractNum>
  <w:abstractNum w:abstractNumId="7">
    <w:nsid w:val="546FA4A0"/>
    <w:multiLevelType w:val="singleLevel"/>
    <w:tmpl w:val="546FA4A0"/>
    <w:lvl w:ilvl="0" w:tentative="0">
      <w:start w:val="1"/>
      <w:numFmt w:val="decimal"/>
      <w:suff w:val="nothing"/>
      <w:lvlText w:val="%1、"/>
      <w:lvlJc w:val="left"/>
    </w:lvl>
  </w:abstractNum>
  <w:abstractNum w:abstractNumId="8">
    <w:nsid w:val="5A20AA93"/>
    <w:multiLevelType w:val="singleLevel"/>
    <w:tmpl w:val="5A20AA93"/>
    <w:lvl w:ilvl="0" w:tentative="0">
      <w:start w:val="2"/>
      <w:numFmt w:val="chineseCounting"/>
      <w:suff w:val="nothing"/>
      <w:lvlText w:val="第%1章"/>
      <w:lvlJc w:val="left"/>
    </w:lvl>
  </w:abstractNum>
  <w:abstractNum w:abstractNumId="9">
    <w:nsid w:val="623A3ECA"/>
    <w:multiLevelType w:val="singleLevel"/>
    <w:tmpl w:val="623A3ECA"/>
    <w:lvl w:ilvl="0" w:tentative="0">
      <w:start w:val="1"/>
      <w:numFmt w:val="chineseCounting"/>
      <w:suff w:val="nothing"/>
      <w:lvlText w:val="%1、"/>
      <w:lvlJc w:val="left"/>
      <w:rPr>
        <w:rFonts w:hint="eastAsia"/>
      </w:rPr>
    </w:lvl>
  </w:abstractNum>
  <w:abstractNum w:abstractNumId="10">
    <w:nsid w:val="67ECAE8F"/>
    <w:multiLevelType w:val="singleLevel"/>
    <w:tmpl w:val="67ECAE8F"/>
    <w:lvl w:ilvl="0" w:tentative="0">
      <w:start w:val="1"/>
      <w:numFmt w:val="decimal"/>
      <w:suff w:val="nothing"/>
      <w:lvlText w:val="（%1）"/>
      <w:lvlJc w:val="left"/>
    </w:lvl>
  </w:abstractNum>
  <w:abstractNum w:abstractNumId="11">
    <w:nsid w:val="7A1F5167"/>
    <w:multiLevelType w:val="multilevel"/>
    <w:tmpl w:val="7A1F5167"/>
    <w:lvl w:ilvl="0" w:tentative="0">
      <w:start w:val="1"/>
      <w:numFmt w:val="decimal"/>
      <w:pStyle w:val="43"/>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11"/>
  </w:num>
  <w:num w:numId="2">
    <w:abstractNumId w:val="8"/>
  </w:num>
  <w:num w:numId="3">
    <w:abstractNumId w:val="0"/>
  </w:num>
  <w:num w:numId="4">
    <w:abstractNumId w:val="2"/>
  </w:num>
  <w:num w:numId="5">
    <w:abstractNumId w:val="4"/>
  </w:num>
  <w:num w:numId="6">
    <w:abstractNumId w:val="3"/>
  </w:num>
  <w:num w:numId="7">
    <w:abstractNumId w:val="9"/>
  </w:num>
  <w:num w:numId="8">
    <w:abstractNumId w:val="10"/>
  </w:num>
  <w:num w:numId="9">
    <w:abstractNumId w:val="5"/>
  </w:num>
  <w:num w:numId="10">
    <w:abstractNumId w:val="1"/>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7762E"/>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1DE5"/>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B5BD1"/>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183EF2"/>
    <w:rsid w:val="02B3467F"/>
    <w:rsid w:val="02E70B0C"/>
    <w:rsid w:val="02F2315A"/>
    <w:rsid w:val="030546F2"/>
    <w:rsid w:val="033F3AC2"/>
    <w:rsid w:val="03B46ED9"/>
    <w:rsid w:val="03C160CD"/>
    <w:rsid w:val="03C42A1C"/>
    <w:rsid w:val="042B7828"/>
    <w:rsid w:val="04350A0D"/>
    <w:rsid w:val="0438006D"/>
    <w:rsid w:val="047E4028"/>
    <w:rsid w:val="04923962"/>
    <w:rsid w:val="049669A0"/>
    <w:rsid w:val="04BA2A6D"/>
    <w:rsid w:val="04EF3402"/>
    <w:rsid w:val="053061FF"/>
    <w:rsid w:val="05A02791"/>
    <w:rsid w:val="05D66C49"/>
    <w:rsid w:val="05E02607"/>
    <w:rsid w:val="06275E82"/>
    <w:rsid w:val="0636356B"/>
    <w:rsid w:val="06387885"/>
    <w:rsid w:val="06A44178"/>
    <w:rsid w:val="06AC47FD"/>
    <w:rsid w:val="06BF642B"/>
    <w:rsid w:val="07463C80"/>
    <w:rsid w:val="076B32D4"/>
    <w:rsid w:val="07CD30E4"/>
    <w:rsid w:val="07D23ECC"/>
    <w:rsid w:val="080E4D0E"/>
    <w:rsid w:val="082F0254"/>
    <w:rsid w:val="0856062D"/>
    <w:rsid w:val="091D3F5E"/>
    <w:rsid w:val="094F412C"/>
    <w:rsid w:val="098D0F06"/>
    <w:rsid w:val="099A02B9"/>
    <w:rsid w:val="09AE3F0E"/>
    <w:rsid w:val="09EA5B12"/>
    <w:rsid w:val="09F424AA"/>
    <w:rsid w:val="0A2638AE"/>
    <w:rsid w:val="0A360457"/>
    <w:rsid w:val="0A7C3DA6"/>
    <w:rsid w:val="0B4E5B30"/>
    <w:rsid w:val="0B624E01"/>
    <w:rsid w:val="0B9079E6"/>
    <w:rsid w:val="0C4C4BC4"/>
    <w:rsid w:val="0CCC038B"/>
    <w:rsid w:val="0CF35A6D"/>
    <w:rsid w:val="0D741A78"/>
    <w:rsid w:val="0D87650A"/>
    <w:rsid w:val="0D9F761A"/>
    <w:rsid w:val="0DD643AE"/>
    <w:rsid w:val="0E0541C1"/>
    <w:rsid w:val="0E1B31AF"/>
    <w:rsid w:val="0E620C08"/>
    <w:rsid w:val="0E7A670E"/>
    <w:rsid w:val="0EA07550"/>
    <w:rsid w:val="0EEC098B"/>
    <w:rsid w:val="0F0D584D"/>
    <w:rsid w:val="0F4E0335"/>
    <w:rsid w:val="0F863BE2"/>
    <w:rsid w:val="0FD445F4"/>
    <w:rsid w:val="100911C3"/>
    <w:rsid w:val="101E2384"/>
    <w:rsid w:val="105630BE"/>
    <w:rsid w:val="116F0D88"/>
    <w:rsid w:val="11724B72"/>
    <w:rsid w:val="119D18BB"/>
    <w:rsid w:val="119F47A0"/>
    <w:rsid w:val="11A95A00"/>
    <w:rsid w:val="11C77DB8"/>
    <w:rsid w:val="11D90CB3"/>
    <w:rsid w:val="11FE3433"/>
    <w:rsid w:val="12632863"/>
    <w:rsid w:val="12C80D7F"/>
    <w:rsid w:val="130C13F7"/>
    <w:rsid w:val="132E202D"/>
    <w:rsid w:val="13876628"/>
    <w:rsid w:val="13AD5D4B"/>
    <w:rsid w:val="13B30401"/>
    <w:rsid w:val="14105332"/>
    <w:rsid w:val="14291F78"/>
    <w:rsid w:val="14942D99"/>
    <w:rsid w:val="14E651E0"/>
    <w:rsid w:val="14F733F0"/>
    <w:rsid w:val="14FA4BBC"/>
    <w:rsid w:val="156848F8"/>
    <w:rsid w:val="15A62FA2"/>
    <w:rsid w:val="16755A32"/>
    <w:rsid w:val="169B2570"/>
    <w:rsid w:val="171668FF"/>
    <w:rsid w:val="17291035"/>
    <w:rsid w:val="173C598B"/>
    <w:rsid w:val="17846ED2"/>
    <w:rsid w:val="178601D9"/>
    <w:rsid w:val="178F1883"/>
    <w:rsid w:val="17B950B8"/>
    <w:rsid w:val="17FB4C11"/>
    <w:rsid w:val="18056EF7"/>
    <w:rsid w:val="185446B4"/>
    <w:rsid w:val="18D0002E"/>
    <w:rsid w:val="18DC484F"/>
    <w:rsid w:val="199847BA"/>
    <w:rsid w:val="19AD68D9"/>
    <w:rsid w:val="19E508E8"/>
    <w:rsid w:val="1A0C52D9"/>
    <w:rsid w:val="1A267315"/>
    <w:rsid w:val="1AF72300"/>
    <w:rsid w:val="1AFC0475"/>
    <w:rsid w:val="1B174956"/>
    <w:rsid w:val="1BC570E4"/>
    <w:rsid w:val="1BDC1168"/>
    <w:rsid w:val="1BFA3660"/>
    <w:rsid w:val="1C58631E"/>
    <w:rsid w:val="1C5F36CE"/>
    <w:rsid w:val="1C850908"/>
    <w:rsid w:val="1CAE04E3"/>
    <w:rsid w:val="1CB10A7D"/>
    <w:rsid w:val="1CFF670B"/>
    <w:rsid w:val="1D7A2005"/>
    <w:rsid w:val="1D921633"/>
    <w:rsid w:val="1D9305D0"/>
    <w:rsid w:val="1DAA732B"/>
    <w:rsid w:val="1DB45EFF"/>
    <w:rsid w:val="1DCE40B2"/>
    <w:rsid w:val="1E4C161E"/>
    <w:rsid w:val="1EE62766"/>
    <w:rsid w:val="1EF32E3E"/>
    <w:rsid w:val="1F355BD6"/>
    <w:rsid w:val="1F6024E0"/>
    <w:rsid w:val="1FE0659C"/>
    <w:rsid w:val="1FF0597D"/>
    <w:rsid w:val="207E7F83"/>
    <w:rsid w:val="20C10BA7"/>
    <w:rsid w:val="20E46263"/>
    <w:rsid w:val="210114D0"/>
    <w:rsid w:val="210F504D"/>
    <w:rsid w:val="210F7AF4"/>
    <w:rsid w:val="21892F84"/>
    <w:rsid w:val="218C3E40"/>
    <w:rsid w:val="21A4008A"/>
    <w:rsid w:val="21D449AB"/>
    <w:rsid w:val="22030B0F"/>
    <w:rsid w:val="22206576"/>
    <w:rsid w:val="228C7812"/>
    <w:rsid w:val="22FC3435"/>
    <w:rsid w:val="234C7215"/>
    <w:rsid w:val="23B12644"/>
    <w:rsid w:val="24716B97"/>
    <w:rsid w:val="2490627B"/>
    <w:rsid w:val="25301B87"/>
    <w:rsid w:val="25602FEB"/>
    <w:rsid w:val="25A36702"/>
    <w:rsid w:val="25E34D3F"/>
    <w:rsid w:val="264B71DB"/>
    <w:rsid w:val="2661073E"/>
    <w:rsid w:val="268073D4"/>
    <w:rsid w:val="269C3786"/>
    <w:rsid w:val="26AA41CB"/>
    <w:rsid w:val="26B902EA"/>
    <w:rsid w:val="26F040DE"/>
    <w:rsid w:val="271C17A7"/>
    <w:rsid w:val="275C50D1"/>
    <w:rsid w:val="27BB268D"/>
    <w:rsid w:val="27DE63C3"/>
    <w:rsid w:val="27EB7D12"/>
    <w:rsid w:val="281B66B2"/>
    <w:rsid w:val="28286E54"/>
    <w:rsid w:val="28367BE4"/>
    <w:rsid w:val="2898525C"/>
    <w:rsid w:val="28C46E10"/>
    <w:rsid w:val="28F94842"/>
    <w:rsid w:val="29142120"/>
    <w:rsid w:val="29246921"/>
    <w:rsid w:val="2942183D"/>
    <w:rsid w:val="29BD63C6"/>
    <w:rsid w:val="29BF3475"/>
    <w:rsid w:val="2A225DF1"/>
    <w:rsid w:val="2A2969F4"/>
    <w:rsid w:val="2A541F38"/>
    <w:rsid w:val="2A56475E"/>
    <w:rsid w:val="2A9030DF"/>
    <w:rsid w:val="2AD14C79"/>
    <w:rsid w:val="2B342EB3"/>
    <w:rsid w:val="2B683A70"/>
    <w:rsid w:val="2B88597B"/>
    <w:rsid w:val="2C0B43FE"/>
    <w:rsid w:val="2C3B11CB"/>
    <w:rsid w:val="2C7B2CA8"/>
    <w:rsid w:val="2C91378A"/>
    <w:rsid w:val="2CA4188C"/>
    <w:rsid w:val="2CAC0903"/>
    <w:rsid w:val="2CDF2662"/>
    <w:rsid w:val="2CE22EAC"/>
    <w:rsid w:val="2CEA0673"/>
    <w:rsid w:val="2CF97D51"/>
    <w:rsid w:val="2D5C1B84"/>
    <w:rsid w:val="2D9B09E0"/>
    <w:rsid w:val="2DCC337E"/>
    <w:rsid w:val="2E1D5AD2"/>
    <w:rsid w:val="2E2267E9"/>
    <w:rsid w:val="2E367DBC"/>
    <w:rsid w:val="2E8E6225"/>
    <w:rsid w:val="2E9500F1"/>
    <w:rsid w:val="2F344DC8"/>
    <w:rsid w:val="2F51066A"/>
    <w:rsid w:val="2F8E0489"/>
    <w:rsid w:val="302D0D6A"/>
    <w:rsid w:val="305A7F73"/>
    <w:rsid w:val="30695537"/>
    <w:rsid w:val="30AB19EF"/>
    <w:rsid w:val="317D687A"/>
    <w:rsid w:val="31906EAD"/>
    <w:rsid w:val="31B276A4"/>
    <w:rsid w:val="31D25200"/>
    <w:rsid w:val="32070663"/>
    <w:rsid w:val="32110C25"/>
    <w:rsid w:val="32125E52"/>
    <w:rsid w:val="32701839"/>
    <w:rsid w:val="32C73A5B"/>
    <w:rsid w:val="32FC67D3"/>
    <w:rsid w:val="33694E96"/>
    <w:rsid w:val="33697DC8"/>
    <w:rsid w:val="3370332B"/>
    <w:rsid w:val="337F0129"/>
    <w:rsid w:val="338E6DE1"/>
    <w:rsid w:val="33CC1E01"/>
    <w:rsid w:val="34313157"/>
    <w:rsid w:val="344E66D2"/>
    <w:rsid w:val="345A3CFF"/>
    <w:rsid w:val="346C7E24"/>
    <w:rsid w:val="34AA1F07"/>
    <w:rsid w:val="34E66245"/>
    <w:rsid w:val="34E76831"/>
    <w:rsid w:val="35AA136C"/>
    <w:rsid w:val="35CB0F7E"/>
    <w:rsid w:val="35DD1ABA"/>
    <w:rsid w:val="35EC631A"/>
    <w:rsid w:val="365D72CC"/>
    <w:rsid w:val="36637E92"/>
    <w:rsid w:val="36B73C9E"/>
    <w:rsid w:val="370E4363"/>
    <w:rsid w:val="3732203A"/>
    <w:rsid w:val="375F2FDB"/>
    <w:rsid w:val="37A4100C"/>
    <w:rsid w:val="37AA5893"/>
    <w:rsid w:val="37DF4DA7"/>
    <w:rsid w:val="37EC067D"/>
    <w:rsid w:val="37F56C63"/>
    <w:rsid w:val="383E30B1"/>
    <w:rsid w:val="38AD6F2F"/>
    <w:rsid w:val="38B45619"/>
    <w:rsid w:val="38C37DE2"/>
    <w:rsid w:val="38F14191"/>
    <w:rsid w:val="39124837"/>
    <w:rsid w:val="397553D2"/>
    <w:rsid w:val="398B7253"/>
    <w:rsid w:val="3A537EB4"/>
    <w:rsid w:val="3B4746CE"/>
    <w:rsid w:val="3B812076"/>
    <w:rsid w:val="3BD151ED"/>
    <w:rsid w:val="3BD21407"/>
    <w:rsid w:val="3C5052F4"/>
    <w:rsid w:val="3C731B93"/>
    <w:rsid w:val="3CD6440B"/>
    <w:rsid w:val="3D584B2F"/>
    <w:rsid w:val="3D607ACA"/>
    <w:rsid w:val="3D6A52C0"/>
    <w:rsid w:val="3D7B4D40"/>
    <w:rsid w:val="3D9C350E"/>
    <w:rsid w:val="3DBD109D"/>
    <w:rsid w:val="3E097D7B"/>
    <w:rsid w:val="3E7A3D4A"/>
    <w:rsid w:val="3EFC552A"/>
    <w:rsid w:val="3F4D7D97"/>
    <w:rsid w:val="3F701693"/>
    <w:rsid w:val="3FA33AD8"/>
    <w:rsid w:val="3FE810FD"/>
    <w:rsid w:val="403D46E0"/>
    <w:rsid w:val="40566A05"/>
    <w:rsid w:val="4073181B"/>
    <w:rsid w:val="409D363B"/>
    <w:rsid w:val="41103E9B"/>
    <w:rsid w:val="41D851B2"/>
    <w:rsid w:val="41F07EC1"/>
    <w:rsid w:val="41F1491B"/>
    <w:rsid w:val="42047669"/>
    <w:rsid w:val="422C2F00"/>
    <w:rsid w:val="43110884"/>
    <w:rsid w:val="43300B44"/>
    <w:rsid w:val="4375684E"/>
    <w:rsid w:val="439F7BE7"/>
    <w:rsid w:val="43AA0AE4"/>
    <w:rsid w:val="43F21023"/>
    <w:rsid w:val="442B216A"/>
    <w:rsid w:val="4480471D"/>
    <w:rsid w:val="449017FE"/>
    <w:rsid w:val="45424C4A"/>
    <w:rsid w:val="456C74AC"/>
    <w:rsid w:val="45875DE0"/>
    <w:rsid w:val="46337FCA"/>
    <w:rsid w:val="46831EA8"/>
    <w:rsid w:val="46C6427C"/>
    <w:rsid w:val="46D451E1"/>
    <w:rsid w:val="46E94485"/>
    <w:rsid w:val="47792559"/>
    <w:rsid w:val="48557862"/>
    <w:rsid w:val="48893B70"/>
    <w:rsid w:val="48C377A6"/>
    <w:rsid w:val="49074C73"/>
    <w:rsid w:val="490C14AE"/>
    <w:rsid w:val="492A4491"/>
    <w:rsid w:val="498656A9"/>
    <w:rsid w:val="498A51A5"/>
    <w:rsid w:val="49907691"/>
    <w:rsid w:val="49B21406"/>
    <w:rsid w:val="49CD4389"/>
    <w:rsid w:val="49E44009"/>
    <w:rsid w:val="49E63B4B"/>
    <w:rsid w:val="49EE3483"/>
    <w:rsid w:val="49F477ED"/>
    <w:rsid w:val="49FB0086"/>
    <w:rsid w:val="4AA00BE0"/>
    <w:rsid w:val="4ACC77BD"/>
    <w:rsid w:val="4AE55B77"/>
    <w:rsid w:val="4AF90EFC"/>
    <w:rsid w:val="4B211C49"/>
    <w:rsid w:val="4B600068"/>
    <w:rsid w:val="4BA05CCB"/>
    <w:rsid w:val="4BE0110F"/>
    <w:rsid w:val="4C1079C5"/>
    <w:rsid w:val="4C2B6F87"/>
    <w:rsid w:val="4C704F30"/>
    <w:rsid w:val="4CDB63CC"/>
    <w:rsid w:val="4CEC159C"/>
    <w:rsid w:val="4D034B13"/>
    <w:rsid w:val="4D5166E5"/>
    <w:rsid w:val="4D98605B"/>
    <w:rsid w:val="4D9B04EA"/>
    <w:rsid w:val="4DE034F7"/>
    <w:rsid w:val="4DEC280E"/>
    <w:rsid w:val="4E9D154C"/>
    <w:rsid w:val="4ECE20AE"/>
    <w:rsid w:val="4EDD4EA7"/>
    <w:rsid w:val="4EF61CFF"/>
    <w:rsid w:val="4F5E27E2"/>
    <w:rsid w:val="4FD5143E"/>
    <w:rsid w:val="4FFF6617"/>
    <w:rsid w:val="50204919"/>
    <w:rsid w:val="50502A0C"/>
    <w:rsid w:val="509E4071"/>
    <w:rsid w:val="50D24405"/>
    <w:rsid w:val="50FF30BE"/>
    <w:rsid w:val="51007A44"/>
    <w:rsid w:val="510930AD"/>
    <w:rsid w:val="510D4F58"/>
    <w:rsid w:val="518C2C03"/>
    <w:rsid w:val="518D318F"/>
    <w:rsid w:val="52147DB4"/>
    <w:rsid w:val="5251274D"/>
    <w:rsid w:val="52722A63"/>
    <w:rsid w:val="52F71543"/>
    <w:rsid w:val="530071CC"/>
    <w:rsid w:val="53157485"/>
    <w:rsid w:val="5319393D"/>
    <w:rsid w:val="532C0C91"/>
    <w:rsid w:val="53CE15C0"/>
    <w:rsid w:val="53DD5FC6"/>
    <w:rsid w:val="543A2922"/>
    <w:rsid w:val="545E0EEC"/>
    <w:rsid w:val="547356F9"/>
    <w:rsid w:val="54847773"/>
    <w:rsid w:val="548D1494"/>
    <w:rsid w:val="54B866C9"/>
    <w:rsid w:val="54FA1CA7"/>
    <w:rsid w:val="55411DA1"/>
    <w:rsid w:val="556870FD"/>
    <w:rsid w:val="558619EB"/>
    <w:rsid w:val="55887DF1"/>
    <w:rsid w:val="55973D2A"/>
    <w:rsid w:val="559C7E5C"/>
    <w:rsid w:val="55A10B51"/>
    <w:rsid w:val="55A52421"/>
    <w:rsid w:val="55AA7359"/>
    <w:rsid w:val="55DF25A4"/>
    <w:rsid w:val="560376AF"/>
    <w:rsid w:val="571B6EA4"/>
    <w:rsid w:val="57D14C02"/>
    <w:rsid w:val="57FD4FE7"/>
    <w:rsid w:val="580F7DC7"/>
    <w:rsid w:val="586C64CB"/>
    <w:rsid w:val="589C290E"/>
    <w:rsid w:val="58F91972"/>
    <w:rsid w:val="59752E25"/>
    <w:rsid w:val="59817CCE"/>
    <w:rsid w:val="598364AD"/>
    <w:rsid w:val="598A5175"/>
    <w:rsid w:val="599256CF"/>
    <w:rsid w:val="599A3C33"/>
    <w:rsid w:val="59A82311"/>
    <w:rsid w:val="5A236EC2"/>
    <w:rsid w:val="5A43340D"/>
    <w:rsid w:val="5A450F6B"/>
    <w:rsid w:val="5A613734"/>
    <w:rsid w:val="5A6E519E"/>
    <w:rsid w:val="5B7313A6"/>
    <w:rsid w:val="5B873401"/>
    <w:rsid w:val="5B8A3610"/>
    <w:rsid w:val="5BAF3B52"/>
    <w:rsid w:val="5BC0351F"/>
    <w:rsid w:val="5BEB6052"/>
    <w:rsid w:val="5C625009"/>
    <w:rsid w:val="5C745E91"/>
    <w:rsid w:val="5C964D3C"/>
    <w:rsid w:val="5CBF1249"/>
    <w:rsid w:val="5CE9504E"/>
    <w:rsid w:val="5CEB2E23"/>
    <w:rsid w:val="5D070CE7"/>
    <w:rsid w:val="5D5274A2"/>
    <w:rsid w:val="5DB32FFD"/>
    <w:rsid w:val="5DB837FB"/>
    <w:rsid w:val="5DD54524"/>
    <w:rsid w:val="5E60516F"/>
    <w:rsid w:val="5E653379"/>
    <w:rsid w:val="5E8F4F42"/>
    <w:rsid w:val="5E95021A"/>
    <w:rsid w:val="5EA66F51"/>
    <w:rsid w:val="5F213563"/>
    <w:rsid w:val="5F454AE9"/>
    <w:rsid w:val="5F53513A"/>
    <w:rsid w:val="5F742377"/>
    <w:rsid w:val="5F9B1D33"/>
    <w:rsid w:val="601F2EA1"/>
    <w:rsid w:val="60552271"/>
    <w:rsid w:val="607B3751"/>
    <w:rsid w:val="609B01A1"/>
    <w:rsid w:val="60D26CFA"/>
    <w:rsid w:val="60E046A2"/>
    <w:rsid w:val="6104408E"/>
    <w:rsid w:val="612239EA"/>
    <w:rsid w:val="616B6389"/>
    <w:rsid w:val="6180007C"/>
    <w:rsid w:val="61C071FF"/>
    <w:rsid w:val="61D51E88"/>
    <w:rsid w:val="61EB5F5B"/>
    <w:rsid w:val="627231E0"/>
    <w:rsid w:val="6341693F"/>
    <w:rsid w:val="63474995"/>
    <w:rsid w:val="636043CA"/>
    <w:rsid w:val="637827B5"/>
    <w:rsid w:val="63C40DE8"/>
    <w:rsid w:val="63E04133"/>
    <w:rsid w:val="63EF5947"/>
    <w:rsid w:val="641607BE"/>
    <w:rsid w:val="64252099"/>
    <w:rsid w:val="642E083B"/>
    <w:rsid w:val="642E478D"/>
    <w:rsid w:val="64725D11"/>
    <w:rsid w:val="64CB2C98"/>
    <w:rsid w:val="64D17D81"/>
    <w:rsid w:val="64E22FFD"/>
    <w:rsid w:val="65680E2F"/>
    <w:rsid w:val="659A7E17"/>
    <w:rsid w:val="65F57153"/>
    <w:rsid w:val="664E76E7"/>
    <w:rsid w:val="665E0C30"/>
    <w:rsid w:val="669303D9"/>
    <w:rsid w:val="669B4DE4"/>
    <w:rsid w:val="66B172B2"/>
    <w:rsid w:val="67077ED9"/>
    <w:rsid w:val="67162867"/>
    <w:rsid w:val="67936A17"/>
    <w:rsid w:val="67950753"/>
    <w:rsid w:val="67A13562"/>
    <w:rsid w:val="67CE72FC"/>
    <w:rsid w:val="67E02E9E"/>
    <w:rsid w:val="67F6765E"/>
    <w:rsid w:val="68075AA7"/>
    <w:rsid w:val="683523E5"/>
    <w:rsid w:val="68A80B31"/>
    <w:rsid w:val="695E2FDB"/>
    <w:rsid w:val="69B12E71"/>
    <w:rsid w:val="6A285CE3"/>
    <w:rsid w:val="6A756629"/>
    <w:rsid w:val="6AFF3B23"/>
    <w:rsid w:val="6B591C27"/>
    <w:rsid w:val="6BA862BD"/>
    <w:rsid w:val="6BF87318"/>
    <w:rsid w:val="6C1D1673"/>
    <w:rsid w:val="6C222A6F"/>
    <w:rsid w:val="6CAB4BBA"/>
    <w:rsid w:val="6CB92937"/>
    <w:rsid w:val="6D22664C"/>
    <w:rsid w:val="6D3911BE"/>
    <w:rsid w:val="6DAC3B6F"/>
    <w:rsid w:val="6E9B756B"/>
    <w:rsid w:val="6F9112AD"/>
    <w:rsid w:val="6F950DC3"/>
    <w:rsid w:val="6FCE719E"/>
    <w:rsid w:val="6FE60CE4"/>
    <w:rsid w:val="6FFD78D4"/>
    <w:rsid w:val="702E2370"/>
    <w:rsid w:val="705928DA"/>
    <w:rsid w:val="70794306"/>
    <w:rsid w:val="708915EC"/>
    <w:rsid w:val="70BD080D"/>
    <w:rsid w:val="710A2B55"/>
    <w:rsid w:val="713B5C96"/>
    <w:rsid w:val="716235F4"/>
    <w:rsid w:val="718B5632"/>
    <w:rsid w:val="719F083E"/>
    <w:rsid w:val="71C3638A"/>
    <w:rsid w:val="71CF1C1D"/>
    <w:rsid w:val="71D06DDE"/>
    <w:rsid w:val="71ED29FE"/>
    <w:rsid w:val="720311C6"/>
    <w:rsid w:val="72730101"/>
    <w:rsid w:val="72D2794E"/>
    <w:rsid w:val="72DC67C8"/>
    <w:rsid w:val="7321788E"/>
    <w:rsid w:val="732E08E5"/>
    <w:rsid w:val="735D5A77"/>
    <w:rsid w:val="737F5D8C"/>
    <w:rsid w:val="73A733BB"/>
    <w:rsid w:val="73CA4F80"/>
    <w:rsid w:val="749116C1"/>
    <w:rsid w:val="74CD3955"/>
    <w:rsid w:val="74E819FA"/>
    <w:rsid w:val="75192DAF"/>
    <w:rsid w:val="75265064"/>
    <w:rsid w:val="75846851"/>
    <w:rsid w:val="75AE223D"/>
    <w:rsid w:val="76046BE0"/>
    <w:rsid w:val="765034C2"/>
    <w:rsid w:val="766D2A87"/>
    <w:rsid w:val="768B77ED"/>
    <w:rsid w:val="769A13A3"/>
    <w:rsid w:val="770601E9"/>
    <w:rsid w:val="7714539C"/>
    <w:rsid w:val="774760CB"/>
    <w:rsid w:val="779E2A31"/>
    <w:rsid w:val="7827349A"/>
    <w:rsid w:val="79D346EE"/>
    <w:rsid w:val="7A644347"/>
    <w:rsid w:val="7AB759D6"/>
    <w:rsid w:val="7B09414F"/>
    <w:rsid w:val="7B1D42EB"/>
    <w:rsid w:val="7B6B1ACE"/>
    <w:rsid w:val="7BFA1B51"/>
    <w:rsid w:val="7CF72D47"/>
    <w:rsid w:val="7CFA5801"/>
    <w:rsid w:val="7D3E4206"/>
    <w:rsid w:val="7D49411F"/>
    <w:rsid w:val="7D894A40"/>
    <w:rsid w:val="7E025758"/>
    <w:rsid w:val="7E14498E"/>
    <w:rsid w:val="7E3F627C"/>
    <w:rsid w:val="7E411CAA"/>
    <w:rsid w:val="7E4F6F7C"/>
    <w:rsid w:val="7E6606C5"/>
    <w:rsid w:val="7E7E782F"/>
    <w:rsid w:val="7ED76318"/>
    <w:rsid w:val="7F165714"/>
    <w:rsid w:val="7F6233FC"/>
    <w:rsid w:val="7F781D3D"/>
    <w:rsid w:val="7F7C75FD"/>
    <w:rsid w:val="7F826130"/>
    <w:rsid w:val="7F9040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4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Body Text Indent"/>
    <w:basedOn w:val="1"/>
    <w:qFormat/>
    <w:uiPriority w:val="0"/>
    <w:pPr>
      <w:spacing w:line="312" w:lineRule="auto"/>
      <w:ind w:left="-171"/>
    </w:pPr>
    <w:rPr>
      <w:rFonts w:ascii="宋体" w:hAnsi="宋体" w:cs="宋体"/>
    </w:rPr>
  </w:style>
  <w:style w:type="paragraph" w:styleId="10">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1">
    <w:name w:val="Plain Text"/>
    <w:basedOn w:val="1"/>
    <w:link w:val="30"/>
    <w:qFormat/>
    <w:uiPriority w:val="0"/>
    <w:rPr>
      <w:rFonts w:ascii="宋体" w:hAnsi="Courier New"/>
      <w:szCs w:val="20"/>
    </w:rPr>
  </w:style>
  <w:style w:type="paragraph" w:styleId="12">
    <w:name w:val="Date"/>
    <w:basedOn w:val="1"/>
    <w:next w:val="1"/>
    <w:qFormat/>
    <w:uiPriority w:val="0"/>
    <w:pPr>
      <w:ind w:left="100"/>
    </w:pPr>
  </w:style>
  <w:style w:type="paragraph" w:styleId="13">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4">
    <w:name w:val="Balloon Text"/>
    <w:basedOn w:val="1"/>
    <w:link w:val="35"/>
    <w:unhideWhenUsed/>
    <w:qFormat/>
    <w:uiPriority w:val="0"/>
    <w:rPr>
      <w:sz w:val="18"/>
      <w:szCs w:val="18"/>
    </w:rPr>
  </w:style>
  <w:style w:type="paragraph" w:styleId="15">
    <w:name w:val="footer"/>
    <w:basedOn w:val="1"/>
    <w:link w:val="29"/>
    <w:qFormat/>
    <w:uiPriority w:val="0"/>
    <w:pPr>
      <w:tabs>
        <w:tab w:val="center" w:pos="4153"/>
        <w:tab w:val="right" w:pos="8306"/>
      </w:tabs>
      <w:snapToGrid w:val="0"/>
      <w:jc w:val="left"/>
    </w:pPr>
    <w:rPr>
      <w:sz w:val="18"/>
      <w:szCs w:val="18"/>
    </w:rPr>
  </w:style>
  <w:style w:type="paragraph" w:styleId="16">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8">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19">
    <w:name w:val="Body Text Indent 3"/>
    <w:basedOn w:val="1"/>
    <w:unhideWhenUsed/>
    <w:qFormat/>
    <w:uiPriority w:val="0"/>
    <w:pPr>
      <w:ind w:left="150"/>
    </w:pPr>
    <w:rPr>
      <w:sz w:val="28"/>
    </w:rPr>
  </w:style>
  <w:style w:type="paragraph" w:styleId="20">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2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2">
    <w:name w:val="Title"/>
    <w:basedOn w:val="1"/>
    <w:next w:val="1"/>
    <w:link w:val="40"/>
    <w:qFormat/>
    <w:uiPriority w:val="0"/>
    <w:pPr>
      <w:spacing w:before="240" w:after="60"/>
      <w:jc w:val="center"/>
      <w:outlineLvl w:val="0"/>
    </w:pPr>
    <w:rPr>
      <w:rFonts w:asciiTheme="majorHAnsi" w:hAnsiTheme="majorHAnsi" w:cstheme="majorBidi"/>
      <w:b/>
      <w:bCs/>
      <w:sz w:val="32"/>
      <w:szCs w:val="32"/>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Hyperlink"/>
    <w:basedOn w:val="25"/>
    <w:unhideWhenUsed/>
    <w:qFormat/>
    <w:uiPriority w:val="99"/>
    <w:rPr>
      <w:color w:val="0563C1" w:themeColor="hyperlink"/>
      <w:u w:val="single"/>
      <w14:textFill>
        <w14:solidFill>
          <w14:schemeClr w14:val="hlink"/>
        </w14:solidFill>
      </w14:textFill>
    </w:rPr>
  </w:style>
  <w:style w:type="character" w:styleId="27">
    <w:name w:val="annotation reference"/>
    <w:basedOn w:val="25"/>
    <w:unhideWhenUsed/>
    <w:qFormat/>
    <w:uiPriority w:val="0"/>
    <w:rPr>
      <w:sz w:val="21"/>
      <w:szCs w:val="21"/>
    </w:rPr>
  </w:style>
  <w:style w:type="character" w:customStyle="1" w:styleId="28">
    <w:name w:val="页眉 Char"/>
    <w:basedOn w:val="25"/>
    <w:link w:val="16"/>
    <w:qFormat/>
    <w:uiPriority w:val="0"/>
    <w:rPr>
      <w:kern w:val="2"/>
      <w:sz w:val="18"/>
      <w:szCs w:val="18"/>
    </w:rPr>
  </w:style>
  <w:style w:type="character" w:customStyle="1" w:styleId="29">
    <w:name w:val="页脚 Char"/>
    <w:basedOn w:val="25"/>
    <w:link w:val="15"/>
    <w:qFormat/>
    <w:uiPriority w:val="0"/>
    <w:rPr>
      <w:kern w:val="2"/>
      <w:sz w:val="18"/>
      <w:szCs w:val="18"/>
    </w:rPr>
  </w:style>
  <w:style w:type="character" w:customStyle="1" w:styleId="30">
    <w:name w:val="纯文本 Char"/>
    <w:basedOn w:val="25"/>
    <w:link w:val="11"/>
    <w:qFormat/>
    <w:uiPriority w:val="0"/>
    <w:rPr>
      <w:rFonts w:ascii="宋体" w:hAnsi="Courier New"/>
      <w:kern w:val="2"/>
      <w:sz w:val="21"/>
    </w:rPr>
  </w:style>
  <w:style w:type="character" w:customStyle="1" w:styleId="31">
    <w:name w:val="纯文本 Char1"/>
    <w:basedOn w:val="25"/>
    <w:qFormat/>
    <w:uiPriority w:val="0"/>
    <w:rPr>
      <w:rFonts w:ascii="宋体" w:hAnsi="Courier New" w:cs="Courier New"/>
      <w:kern w:val="2"/>
      <w:sz w:val="21"/>
      <w:szCs w:val="21"/>
    </w:rPr>
  </w:style>
  <w:style w:type="paragraph" w:customStyle="1" w:styleId="32">
    <w:name w:val="列出段落1"/>
    <w:basedOn w:val="1"/>
    <w:unhideWhenUsed/>
    <w:qFormat/>
    <w:uiPriority w:val="99"/>
    <w:pPr>
      <w:ind w:firstLine="420" w:firstLineChars="200"/>
    </w:pPr>
  </w:style>
  <w:style w:type="paragraph" w:customStyle="1" w:styleId="33">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Blockquote"/>
    <w:basedOn w:val="1"/>
    <w:qFormat/>
    <w:uiPriority w:val="0"/>
    <w:pPr>
      <w:autoSpaceDE w:val="0"/>
      <w:autoSpaceDN w:val="0"/>
      <w:adjustRightInd w:val="0"/>
      <w:ind w:left="360" w:right="360"/>
      <w:jc w:val="left"/>
    </w:pPr>
    <w:rPr>
      <w:kern w:val="0"/>
      <w:sz w:val="24"/>
      <w:szCs w:val="20"/>
    </w:rPr>
  </w:style>
  <w:style w:type="character" w:customStyle="1" w:styleId="35">
    <w:name w:val="批注框文本 Char"/>
    <w:basedOn w:val="25"/>
    <w:link w:val="14"/>
    <w:semiHidden/>
    <w:qFormat/>
    <w:uiPriority w:val="0"/>
    <w:rPr>
      <w:kern w:val="2"/>
      <w:sz w:val="18"/>
      <w:szCs w:val="18"/>
    </w:rPr>
  </w:style>
  <w:style w:type="paragraph" w:customStyle="1" w:styleId="36">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7">
    <w:name w:val="cjk"/>
    <w:basedOn w:val="1"/>
    <w:qFormat/>
    <w:uiPriority w:val="0"/>
    <w:pPr>
      <w:spacing w:before="284" w:after="100" w:afterAutospacing="1" w:line="360" w:lineRule="auto"/>
    </w:pPr>
    <w:rPr>
      <w:sz w:val="22"/>
    </w:rPr>
  </w:style>
  <w:style w:type="paragraph" w:customStyle="1" w:styleId="38">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9">
    <w:name w:val="List Paragraph"/>
    <w:basedOn w:val="1"/>
    <w:unhideWhenUsed/>
    <w:qFormat/>
    <w:uiPriority w:val="99"/>
    <w:pPr>
      <w:ind w:firstLine="420" w:firstLineChars="200"/>
    </w:pPr>
  </w:style>
  <w:style w:type="character" w:customStyle="1" w:styleId="40">
    <w:name w:val="标题 Char"/>
    <w:basedOn w:val="25"/>
    <w:link w:val="22"/>
    <w:qFormat/>
    <w:uiPriority w:val="0"/>
    <w:rPr>
      <w:rFonts w:asciiTheme="majorHAnsi" w:hAnsiTheme="majorHAnsi" w:cstheme="majorBidi"/>
      <w:b/>
      <w:bCs/>
      <w:kern w:val="2"/>
      <w:sz w:val="32"/>
      <w:szCs w:val="32"/>
    </w:rPr>
  </w:style>
  <w:style w:type="character" w:customStyle="1" w:styleId="41">
    <w:name w:val="标题 1 Char"/>
    <w:basedOn w:val="25"/>
    <w:link w:val="2"/>
    <w:qFormat/>
    <w:uiPriority w:val="0"/>
    <w:rPr>
      <w:b/>
      <w:bCs/>
      <w:kern w:val="44"/>
      <w:sz w:val="44"/>
      <w:szCs w:val="44"/>
    </w:rPr>
  </w:style>
  <w:style w:type="paragraph" w:customStyle="1" w:styleId="4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3">
    <w:name w:val="正文编号"/>
    <w:basedOn w:val="1"/>
    <w:next w:val="1"/>
    <w:qFormat/>
    <w:uiPriority w:val="0"/>
    <w:pPr>
      <w:widowControl/>
      <w:numPr>
        <w:ilvl w:val="0"/>
        <w:numId w:val="1"/>
      </w:numPr>
      <w:spacing w:line="360" w:lineRule="auto"/>
    </w:pPr>
    <w:rPr>
      <w:rFonts w:ascii="Calibri" w:hAnsi="Calibri"/>
      <w:kern w:val="0"/>
      <w:sz w:val="24"/>
      <w:szCs w:val="22"/>
    </w:rPr>
  </w:style>
  <w:style w:type="character" w:customStyle="1" w:styleId="44">
    <w:name w:val="font01"/>
    <w:basedOn w:val="25"/>
    <w:qFormat/>
    <w:uiPriority w:val="0"/>
    <w:rPr>
      <w:rFonts w:hint="eastAsia" w:ascii="黑体" w:hAnsi="宋体" w:eastAsia="黑体" w:cs="黑体"/>
      <w:color w:val="FF0000"/>
      <w:sz w:val="18"/>
      <w:szCs w:val="18"/>
      <w:u w:val="none"/>
    </w:rPr>
  </w:style>
  <w:style w:type="character" w:customStyle="1" w:styleId="45">
    <w:name w:val="font11"/>
    <w:basedOn w:val="25"/>
    <w:qFormat/>
    <w:uiPriority w:val="0"/>
    <w:rPr>
      <w:rFonts w:hint="eastAsia" w:ascii="黑体" w:hAnsi="宋体" w:eastAsia="黑体" w:cs="黑体"/>
      <w:color w:val="000000"/>
      <w:sz w:val="18"/>
      <w:szCs w:val="18"/>
      <w:u w:val="none"/>
    </w:rPr>
  </w:style>
  <w:style w:type="character" w:customStyle="1" w:styleId="46">
    <w:name w:val="font51"/>
    <w:basedOn w:val="25"/>
    <w:qFormat/>
    <w:uiPriority w:val="0"/>
    <w:rPr>
      <w:rFonts w:hint="eastAsia" w:ascii="黑体" w:hAnsi="宋体" w:eastAsia="黑体" w:cs="黑体"/>
      <w:color w:val="000000"/>
      <w:sz w:val="18"/>
      <w:szCs w:val="18"/>
      <w:u w:val="none"/>
    </w:rPr>
  </w:style>
  <w:style w:type="paragraph" w:customStyle="1" w:styleId="47">
    <w:name w:val="纯文本1"/>
    <w:basedOn w:val="1"/>
    <w:qFormat/>
    <w:uiPriority w:val="0"/>
    <w:pPr>
      <w:widowControl w:val="0"/>
      <w:jc w:val="both"/>
    </w:pPr>
    <w:rPr>
      <w:rFonts w:ascii="宋体" w:hAnsi="宋体" w:eastAsia="楷体_GB2312"/>
      <w:kern w:val="1"/>
      <w:sz w:val="28"/>
      <w:szCs w:val="20"/>
    </w:rPr>
  </w:style>
  <w:style w:type="paragraph" w:customStyle="1" w:styleId="48">
    <w:name w:val="Plain Text1"/>
    <w:basedOn w:val="1"/>
    <w:qFormat/>
    <w:uiPriority w:val="0"/>
    <w:pPr>
      <w:widowControl w:val="0"/>
      <w:jc w:val="both"/>
    </w:pPr>
    <w:rPr>
      <w:rFonts w:ascii="宋体" w:hAnsi="宋体" w:eastAsia="楷体_GB2312"/>
      <w:kern w:val="1"/>
      <w:sz w:val="28"/>
      <w:szCs w:val="20"/>
    </w:rPr>
  </w:style>
  <w:style w:type="character" w:customStyle="1" w:styleId="49">
    <w:name w:val="font31"/>
    <w:basedOn w:val="25"/>
    <w:qFormat/>
    <w:uiPriority w:val="0"/>
    <w:rPr>
      <w:rFonts w:hint="eastAsia" w:ascii="宋体" w:hAnsi="宋体" w:eastAsia="宋体" w:cs="宋体"/>
      <w:color w:val="000000"/>
      <w:sz w:val="20"/>
      <w:szCs w:val="20"/>
      <w:u w:val="none"/>
    </w:rPr>
  </w:style>
  <w:style w:type="paragraph" w:customStyle="1" w:styleId="50">
    <w:name w:val="首行缩进"/>
    <w:basedOn w:val="1"/>
    <w:qFormat/>
    <w:uiPriority w:val="0"/>
    <w:pPr>
      <w:adjustRightInd/>
      <w:spacing w:line="240" w:lineRule="auto"/>
      <w:ind w:firstLine="480" w:firstLineChars="200"/>
      <w:textAlignment w:val="auto"/>
    </w:pPr>
    <w:rPr>
      <w:kern w:val="2"/>
      <w:sz w:val="21"/>
      <w:lang w:val="zh-CN"/>
    </w:rPr>
  </w:style>
  <w:style w:type="paragraph" w:customStyle="1" w:styleId="51">
    <w:name w:val="正文 A"/>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hint="eastAsia" w:ascii="Arial Unicode MS" w:hAnsi="Arial Unicode MS" w:eastAsia="Times New Roman"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17</Pages>
  <Words>6267</Words>
  <Characters>6532</Characters>
  <Lines>121</Lines>
  <Paragraphs>34</Paragraphs>
  <TotalTime>3</TotalTime>
  <ScaleCrop>false</ScaleCrop>
  <LinksUpToDate>false</LinksUpToDate>
  <CharactersWithSpaces>7111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2022-05-10T07:39:20Z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71E2CF1295B24B4BBFD0ED3A4310493C</vt:lpwstr>
  </property>
</Properties>
</file>