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独墅湖书香世家酒店3-4F客房家具整修工程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苏州独墅湖书香世家酒店有限公司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招标编号：SXCG202101-G-001</w:t>
            </w:r>
            <w:r>
              <w:rPr>
                <w:rFonts w:hint="eastAsia" w:ascii="宋体" w:hAnsi="宋体" w:cs="Tahoma"/>
                <w:sz w:val="24"/>
                <w:szCs w:val="24"/>
                <w:u w:val="single"/>
                <w:lang w:val="en-US" w:eastAsia="zh-CN"/>
              </w:rPr>
              <w:t xml:space="preserve">    </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投标有效期：50天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独墅湖书香世家酒店3-4F客房家具整修工程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苏州市吴中区通达路</w:t>
            </w:r>
            <w:r>
              <w:rPr>
                <w:rFonts w:hint="eastAsia" w:ascii="宋体" w:hAnsi="宋体" w:cs="Tahoma"/>
                <w:sz w:val="24"/>
                <w:szCs w:val="24"/>
                <w:lang w:val="en-US" w:eastAsia="zh-CN"/>
              </w:rPr>
              <w:t>2699号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包工包料，报价含运输费、人工费、上楼搬运费、税率、安装费、保修费、现场垃圾清运费等为完成本标所需的所有费用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客房3-4层家具，</w:t>
            </w:r>
            <w:r>
              <w:rPr>
                <w:rFonts w:hint="eastAsia" w:ascii="宋体" w:hAnsi="宋体"/>
                <w:sz w:val="24"/>
                <w:szCs w:val="24"/>
                <w:lang w:eastAsia="zh-CN"/>
              </w:rPr>
              <w:t>（详见清单）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p>
          <w:p>
            <w:pPr>
              <w:spacing w:line="400" w:lineRule="atLeast"/>
              <w:rPr>
                <w:rFonts w:hint="eastAsia" w:ascii="宋体" w:hAnsi="宋体"/>
                <w:color w:val="000000"/>
                <w:sz w:val="24"/>
                <w:szCs w:val="24"/>
                <w:lang w:eastAsia="zh-CN"/>
              </w:rPr>
            </w:pP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家具材质及工艺要求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家具涉及框架等采用优质白蜡木材质为主（或同档次实木材质）；</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家具饰面板采用E1级多层板板材贴木皮</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所有油漆饰面项目中，采用“华润”或相同档次品牌油漆，具有抗黄变特性，油漆工艺要求三底两面工艺；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45天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深化设计要求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eastAsia="zh-CN"/>
              </w:rPr>
              <w:t>中标单位于收到中标通知书后</w:t>
            </w:r>
            <w:r>
              <w:rPr>
                <w:rFonts w:hint="eastAsia"/>
                <w:sz w:val="24"/>
                <w:szCs w:val="24"/>
                <w:lang w:val="en-US" w:eastAsia="zh-CN"/>
              </w:rPr>
              <w:t>7日内完成标的家具的深化设计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贰年（自竣工验收合格日起）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酒店家具生产资质，</w:t>
            </w:r>
            <w:r>
              <w:rPr>
                <w:rFonts w:hint="eastAsia"/>
                <w:sz w:val="24"/>
                <w:szCs w:val="24"/>
                <w:lang w:val="en-US" w:eastAsia="zh-CN"/>
              </w:rPr>
              <w:t>近2年内有50万以上四星级酒店家具工程项目2家、需附合同复印件。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eastAsia="zh-CN"/>
              </w:rPr>
            </w:pPr>
            <w:r>
              <w:rPr>
                <w:rFonts w:hint="eastAsia" w:ascii="宋体" w:hAnsi="宋体"/>
                <w:sz w:val="24"/>
                <w:szCs w:val="24"/>
                <w:lang w:eastAsia="zh-CN"/>
              </w:rPr>
              <w:t>固定综合单价，最终结算按实际数量进行结算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yellow"/>
                <w:lang w:val="en-US" w:eastAsia="zh-CN"/>
              </w:rPr>
              <w:t>陆仟</w:t>
            </w:r>
            <w:r>
              <w:rPr>
                <w:rFonts w:hint="eastAsia"/>
                <w:b/>
                <w:bCs/>
                <w:sz w:val="24"/>
                <w:szCs w:val="24"/>
                <w:highlight w:val="yellow"/>
                <w:lang w:eastAsia="zh-CN"/>
              </w:rPr>
              <w:t>元</w:t>
            </w:r>
            <w:r>
              <w:rPr>
                <w:rFonts w:hint="eastAsia"/>
                <w:b/>
                <w:bCs/>
                <w:sz w:val="24"/>
                <w:szCs w:val="24"/>
                <w:highlight w:val="none"/>
                <w:lang w:eastAsia="zh-CN"/>
              </w:rPr>
              <w:t>整</w:t>
            </w:r>
            <w:r>
              <w:rPr>
                <w:rFonts w:hint="eastAsia"/>
                <w:sz w:val="24"/>
                <w:szCs w:val="24"/>
                <w:highlight w:val="none"/>
                <w:lang w:eastAsia="zh-CN"/>
              </w:rPr>
              <w:t>，直接转账至以下账号：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纳税识别号：9132050875321488X3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行：工商银行苏州分行营业部</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w:t>
            </w:r>
            <w:r>
              <w:rPr>
                <w:rFonts w:hint="eastAsia"/>
                <w:color w:val="FF0000"/>
                <w:sz w:val="24"/>
                <w:szCs w:val="24"/>
                <w:highlight w:val="none"/>
                <w:lang w:val="en-US" w:eastAsia="zh-CN"/>
              </w:rPr>
              <w:t>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21</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1</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18</w:t>
            </w:r>
            <w:r>
              <w:rPr>
                <w:rFonts w:hint="eastAsia" w:ascii="宋体" w:hAnsi="宋体"/>
                <w:b/>
                <w:bCs/>
                <w:color w:val="FF0000"/>
                <w:sz w:val="24"/>
                <w:szCs w:val="24"/>
              </w:rPr>
              <w:t>日</w:t>
            </w:r>
            <w:r>
              <w:rPr>
                <w:rFonts w:hint="eastAsia" w:ascii="宋体" w:hAnsi="宋体"/>
                <w:b/>
                <w:bCs/>
                <w:color w:val="FF0000"/>
                <w:sz w:val="24"/>
                <w:szCs w:val="24"/>
                <w:lang w:eastAsia="zh-CN"/>
              </w:rPr>
              <w:t>上</w:t>
            </w:r>
            <w:r>
              <w:rPr>
                <w:rFonts w:hint="eastAsia" w:ascii="宋体" w:hAnsi="宋体"/>
                <w:b/>
                <w:bCs/>
                <w:color w:val="FF0000"/>
                <w:sz w:val="24"/>
                <w:szCs w:val="24"/>
              </w:rPr>
              <w:t>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sz w:val="24"/>
                <w:szCs w:val="24"/>
                <w:lang w:val="en-US" w:eastAsia="zh-CN"/>
              </w:rPr>
            </w:pP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p>
          <w:p>
            <w:pPr>
              <w:spacing w:line="400" w:lineRule="atLeast"/>
              <w:rPr>
                <w:rFonts w:hint="eastAsia"/>
                <w:sz w:val="24"/>
                <w:szCs w:val="24"/>
                <w:lang w:val="en-US" w:eastAsia="zh-CN"/>
              </w:rPr>
            </w:pPr>
            <w:r>
              <w:rPr>
                <w:rFonts w:hint="eastAsia"/>
                <w:sz w:val="24"/>
                <w:szCs w:val="24"/>
                <w:highlight w:val="yellow"/>
                <w:lang w:val="en-US" w:eastAsia="zh-CN"/>
              </w:rPr>
              <w:t>（只接收投标文件，不接受咨询）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rPr>
            </w:pP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val="en-US" w:eastAsia="zh-CN"/>
              </w:rPr>
              <w:t>招标文件咨询联系人：周工 17761883525</w:t>
            </w:r>
          </w:p>
          <w:p>
            <w:pPr>
              <w:spacing w:line="400" w:lineRule="atLeast"/>
              <w:rPr>
                <w:rFonts w:hint="eastAsia"/>
                <w:sz w:val="24"/>
                <w:szCs w:val="24"/>
              </w:rPr>
            </w:pPr>
            <w:r>
              <w:rPr>
                <w:rFonts w:hint="eastAsia"/>
                <w:sz w:val="24"/>
                <w:szCs w:val="24"/>
                <w:lang w:val="en-US" w:eastAsia="zh-CN"/>
              </w:rPr>
              <w:t>招标项目技术问题咨询联系人：顾总13606209630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eastAsia="宋体"/>
                <w:sz w:val="24"/>
                <w:szCs w:val="24"/>
                <w:lang w:eastAsia="zh-CN"/>
              </w:rPr>
            </w:pPr>
            <w:r>
              <w:rPr>
                <w:rFonts w:hint="eastAsia"/>
                <w:b/>
                <w:bCs/>
                <w:color w:val="FF0000"/>
                <w:sz w:val="24"/>
                <w:szCs w:val="24"/>
                <w:highlight w:val="yellow"/>
                <w:lang w:val="en-US" w:eastAsia="zh-CN"/>
              </w:rPr>
              <w:t>预留金（暂列金额）叁万元整（含税、费）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b/>
                <w:bCs/>
                <w:color w:val="000000" w:themeColor="text1"/>
                <w:sz w:val="24"/>
                <w:lang w:eastAsia="zh-CN"/>
              </w:rPr>
            </w:pPr>
            <w:r>
              <w:rPr>
                <w:rFonts w:hint="eastAsia" w:ascii="宋体" w:hAnsi="宋体"/>
                <w:b/>
                <w:bCs/>
                <w:color w:val="000000" w:themeColor="text1"/>
                <w:sz w:val="24"/>
              </w:rPr>
              <w:t>甲乙双方往来的发票均为增值税专用发票。写明税率。</w:t>
            </w:r>
            <w:r>
              <w:rPr>
                <w:rFonts w:hint="eastAsia" w:ascii="宋体" w:hAnsi="宋体"/>
                <w:b/>
                <w:bCs/>
                <w:color w:val="000000" w:themeColor="text1"/>
                <w:sz w:val="24"/>
                <w:lang w:eastAsia="zh-CN"/>
              </w:rPr>
              <w:t>原则上每次付款需要提供等额发票</w:t>
            </w:r>
          </w:p>
        </w:tc>
      </w:tr>
    </w:tbl>
    <w:p>
      <w:pPr>
        <w:numPr>
          <w:ilvl w:val="0"/>
          <w:numId w:val="3"/>
        </w:numPr>
        <w:spacing w:line="360" w:lineRule="auto"/>
        <w:rPr>
          <w:sz w:val="24"/>
          <w:szCs w:val="24"/>
        </w:rPr>
      </w:pPr>
      <w:r>
        <w:rPr>
          <w:rFonts w:hint="eastAsia"/>
          <w:b/>
          <w:bCs/>
          <w:sz w:val="24"/>
          <w:szCs w:val="24"/>
        </w:rPr>
        <w:t>报价须知</w:t>
      </w:r>
    </w:p>
    <w:p>
      <w:pPr>
        <w:numPr>
          <w:ilvl w:val="0"/>
          <w:numId w:val="4"/>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4"/>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4"/>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4"/>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4"/>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color w:val="FF0000"/>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color w:val="FF0000"/>
          <w:kern w:val="2"/>
          <w:sz w:val="24"/>
          <w:szCs w:val="24"/>
          <w:lang w:val="en-US" w:eastAsia="zh-CN" w:bidi="ar-SA"/>
        </w:rPr>
        <w:t>投标人</w:t>
      </w:r>
      <w:r>
        <w:rPr>
          <w:rFonts w:hint="eastAsia" w:cs="Times New Roman"/>
          <w:color w:val="FF0000"/>
          <w:kern w:val="2"/>
          <w:sz w:val="24"/>
          <w:szCs w:val="24"/>
          <w:lang w:val="en-US" w:eastAsia="zh-CN" w:bidi="ar-SA"/>
        </w:rPr>
        <w:t>收到</w:t>
      </w:r>
      <w:r>
        <w:rPr>
          <w:rFonts w:hint="eastAsia" w:ascii="Times New Roman" w:hAnsi="Times New Roman" w:eastAsia="宋体" w:cs="Times New Roman"/>
          <w:color w:val="FF0000"/>
          <w:kern w:val="2"/>
          <w:sz w:val="24"/>
          <w:szCs w:val="24"/>
          <w:lang w:val="en-US" w:eastAsia="zh-CN" w:bidi="ar-SA"/>
        </w:rPr>
        <w:t>中标</w:t>
      </w:r>
      <w:r>
        <w:rPr>
          <w:rFonts w:hint="eastAsia" w:cs="Times New Roman"/>
          <w:color w:val="FF0000"/>
          <w:kern w:val="2"/>
          <w:sz w:val="24"/>
          <w:szCs w:val="24"/>
          <w:lang w:val="en-US" w:eastAsia="zh-CN" w:bidi="ar-SA"/>
        </w:rPr>
        <w:t>通知书5日</w:t>
      </w:r>
      <w:r>
        <w:rPr>
          <w:rFonts w:hint="eastAsia" w:ascii="Times New Roman" w:hAnsi="Times New Roman" w:eastAsia="宋体" w:cs="Times New Roman"/>
          <w:color w:val="FF0000"/>
          <w:kern w:val="2"/>
          <w:sz w:val="24"/>
          <w:szCs w:val="24"/>
          <w:lang w:val="en-US" w:eastAsia="zh-CN" w:bidi="ar-SA"/>
        </w:rPr>
        <w:t>后未按规定与招标人签订合同的</w:t>
      </w:r>
    </w:p>
    <w:p>
      <w:pPr>
        <w:numPr>
          <w:ilvl w:val="0"/>
          <w:numId w:val="4"/>
        </w:numPr>
        <w:spacing w:line="360" w:lineRule="auto"/>
        <w:rPr>
          <w:sz w:val="24"/>
          <w:szCs w:val="24"/>
        </w:rPr>
      </w:pPr>
      <w:r>
        <w:rPr>
          <w:rFonts w:hint="eastAsia"/>
          <w:sz w:val="24"/>
          <w:szCs w:val="24"/>
        </w:rPr>
        <w:t>报价方式：</w:t>
      </w:r>
    </w:p>
    <w:p>
      <w:pPr>
        <w:numPr>
          <w:ilvl w:val="0"/>
          <w:numId w:val="5"/>
        </w:numPr>
        <w:spacing w:line="360" w:lineRule="auto"/>
        <w:rPr>
          <w:sz w:val="24"/>
          <w:szCs w:val="24"/>
        </w:rPr>
      </w:pPr>
      <w:r>
        <w:rPr>
          <w:rFonts w:hint="eastAsia"/>
          <w:sz w:val="24"/>
          <w:szCs w:val="24"/>
        </w:rPr>
        <w:t>本工程采用</w:t>
      </w:r>
      <w:r>
        <w:rPr>
          <w:rFonts w:hint="eastAsia"/>
          <w:sz w:val="24"/>
          <w:szCs w:val="24"/>
          <w:lang w:eastAsia="zh-CN"/>
        </w:rPr>
        <w:t>固定单价</w:t>
      </w:r>
      <w:r>
        <w:rPr>
          <w:rFonts w:hint="eastAsia"/>
          <w:sz w:val="24"/>
          <w:szCs w:val="24"/>
        </w:rPr>
        <w:t>计价</w:t>
      </w:r>
      <w:r>
        <w:rPr>
          <w:rFonts w:hint="eastAsia"/>
          <w:sz w:val="24"/>
          <w:szCs w:val="24"/>
          <w:lang w:eastAsia="zh-CN"/>
        </w:rPr>
        <w:t>方式，即</w:t>
      </w:r>
      <w:r>
        <w:rPr>
          <w:rFonts w:hint="eastAsia"/>
          <w:sz w:val="24"/>
          <w:szCs w:val="24"/>
        </w:rPr>
        <w:t>由招标人提供</w:t>
      </w:r>
      <w:r>
        <w:rPr>
          <w:rFonts w:hint="eastAsia"/>
          <w:sz w:val="24"/>
          <w:szCs w:val="24"/>
          <w:lang w:eastAsia="zh-CN"/>
        </w:rPr>
        <w:t>家具</w:t>
      </w:r>
      <w:r>
        <w:rPr>
          <w:rFonts w:hint="eastAsia"/>
          <w:sz w:val="24"/>
          <w:szCs w:val="24"/>
        </w:rPr>
        <w:t>清单，</w:t>
      </w:r>
      <w:r>
        <w:rPr>
          <w:rFonts w:hint="eastAsia"/>
          <w:sz w:val="24"/>
          <w:szCs w:val="24"/>
          <w:lang w:eastAsia="zh-CN"/>
        </w:rPr>
        <w:t>投标</w:t>
      </w:r>
      <w:r>
        <w:rPr>
          <w:rFonts w:hint="eastAsia"/>
          <w:sz w:val="24"/>
          <w:szCs w:val="24"/>
        </w:rPr>
        <w:t>人自主报价的计价方式</w:t>
      </w:r>
      <w:r>
        <w:rPr>
          <w:rFonts w:hint="eastAsia"/>
          <w:sz w:val="24"/>
          <w:szCs w:val="24"/>
          <w:lang w:val="en-US"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5"/>
        </w:numPr>
        <w:spacing w:line="360" w:lineRule="auto"/>
        <w:rPr>
          <w:sz w:val="24"/>
          <w:szCs w:val="24"/>
        </w:rPr>
      </w:pPr>
      <w:r>
        <w:rPr>
          <w:rFonts w:hint="eastAsia"/>
          <w:sz w:val="24"/>
          <w:szCs w:val="24"/>
        </w:rPr>
        <w:t>竞争性报价时，不可竞争费用</w:t>
      </w:r>
      <w:r>
        <w:rPr>
          <w:rFonts w:hint="eastAsia"/>
          <w:sz w:val="24"/>
          <w:szCs w:val="24"/>
          <w:lang w:eastAsia="zh-CN"/>
        </w:rPr>
        <w:t>（包括预留金）</w:t>
      </w:r>
      <w:r>
        <w:rPr>
          <w:rFonts w:hint="eastAsia"/>
          <w:sz w:val="24"/>
          <w:szCs w:val="24"/>
        </w:rPr>
        <w:t>均按规定计算，不得让利或随意调整。</w:t>
      </w:r>
    </w:p>
    <w:p>
      <w:pPr>
        <w:numPr>
          <w:ilvl w:val="0"/>
          <w:numId w:val="4"/>
        </w:numPr>
        <w:spacing w:line="360" w:lineRule="auto"/>
        <w:ind w:left="0" w:leftChars="0" w:firstLine="0" w:firstLineChars="0"/>
        <w:rPr>
          <w:rFonts w:hint="eastAsia" w:eastAsia="宋体"/>
          <w:b/>
          <w:bCs/>
          <w:sz w:val="24"/>
          <w:szCs w:val="24"/>
          <w:lang w:val="en-US"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，甲方综合报价单位的施工能力、企业信誉、企业业绩等综合评定确定中标人</w:t>
      </w:r>
    </w:p>
    <w:tbl>
      <w:tblPr>
        <w:tblStyle w:val="13"/>
        <w:tblW w:w="9960" w:type="dxa"/>
        <w:tblInd w:w="0" w:type="dxa"/>
        <w:shd w:val="clear" w:color="auto" w:fill="auto"/>
        <w:tblLayout w:type="autofit"/>
        <w:tblCellMar>
          <w:top w:w="0" w:type="dxa"/>
          <w:left w:w="0" w:type="dxa"/>
          <w:bottom w:w="0" w:type="dxa"/>
          <w:right w:w="0" w:type="dxa"/>
        </w:tblCellMar>
      </w:tblPr>
      <w:tblGrid>
        <w:gridCol w:w="1605"/>
        <w:gridCol w:w="7275"/>
        <w:gridCol w:w="1080"/>
      </w:tblGrid>
      <w:tr>
        <w:tblPrEx>
          <w:shd w:val="clear" w:color="auto" w:fill="auto"/>
          <w:tblCellMar>
            <w:top w:w="0" w:type="dxa"/>
            <w:left w:w="0" w:type="dxa"/>
            <w:bottom w:w="0" w:type="dxa"/>
            <w:right w:w="0" w:type="dxa"/>
          </w:tblCellMar>
        </w:tblPrEx>
        <w:trPr>
          <w:trHeight w:val="285" w:hRule="atLeast"/>
        </w:trPr>
        <w:tc>
          <w:tcPr>
            <w:tcW w:w="16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项 目</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评 分 细 则</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权重</w:t>
            </w:r>
          </w:p>
        </w:tc>
      </w:tr>
      <w:tr>
        <w:tblPrEx>
          <w:shd w:val="clear" w:color="auto" w:fill="auto"/>
          <w:tblCellMar>
            <w:top w:w="0" w:type="dxa"/>
            <w:left w:w="0" w:type="dxa"/>
            <w:bottom w:w="0" w:type="dxa"/>
            <w:right w:w="0" w:type="dxa"/>
          </w:tblCellMar>
        </w:tblPrEx>
        <w:trPr>
          <w:trHeight w:val="900" w:hRule="atLeast"/>
        </w:trPr>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报价评分</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价格得分计算方法：根据各投标人通过符合性审查的有效投标报价中的最低价作为评标基准价。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r>
      <w:tr>
        <w:tblPrEx>
          <w:shd w:val="clear" w:color="auto" w:fill="auto"/>
          <w:tblCellMar>
            <w:top w:w="0" w:type="dxa"/>
            <w:left w:w="0" w:type="dxa"/>
            <w:bottom w:w="0" w:type="dxa"/>
            <w:right w:w="0" w:type="dxa"/>
          </w:tblCellMar>
        </w:tblPrEx>
        <w:trPr>
          <w:trHeight w:val="285"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价格得分=（评标基准价/投标报价）×70；（计算到小数点后二位）</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1000" w:hRule="atLeast"/>
        </w:trPr>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商务标评分</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1、根据投标单位的公司信誉、经营状况、银行资信、公司规模等情况综合评审，最高得10分。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shd w:val="clear" w:color="auto" w:fill="auto"/>
          <w:tblCellMar>
            <w:top w:w="0" w:type="dxa"/>
            <w:left w:w="0" w:type="dxa"/>
            <w:bottom w:w="0" w:type="dxa"/>
            <w:right w:w="0" w:type="dxa"/>
          </w:tblCellMar>
        </w:tblPrEx>
        <w:trPr>
          <w:trHeight w:val="1140"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2、类似业绩：2017年以来，有类似的项目业绩且合同金额≥100万的1家得5分，合同金额≥50万得3分，合同</w:t>
            </w:r>
            <w:bookmarkStart w:id="0" w:name="_GoBack"/>
            <w:bookmarkEnd w:id="0"/>
            <w:r>
              <w:rPr>
                <w:rFonts w:hint="eastAsia" w:ascii="仿宋" w:hAnsi="仿宋" w:eastAsia="仿宋" w:cs="仿宋"/>
                <w:i w:val="0"/>
                <w:color w:val="000000"/>
                <w:kern w:val="0"/>
                <w:sz w:val="24"/>
                <w:szCs w:val="24"/>
                <w:u w:val="none"/>
                <w:lang w:val="en-US" w:eastAsia="zh-CN" w:bidi="ar"/>
              </w:rPr>
              <w:t>金额＜20万的不得分，最高得20分。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w:t>
            </w:r>
            <w:r>
              <w:rPr>
                <w:rFonts w:hint="eastAsia" w:ascii="宋体" w:hAnsi="宋体" w:eastAsia="宋体" w:cs="宋体"/>
                <w:i w:val="0"/>
                <w:color w:val="000000"/>
                <w:kern w:val="0"/>
                <w:sz w:val="22"/>
                <w:szCs w:val="22"/>
                <w:u w:val="none"/>
                <w:lang w:val="en-US" w:eastAsia="zh-CN" w:bidi="ar"/>
              </w:rPr>
              <w:t>0%</w:t>
            </w:r>
          </w:p>
        </w:tc>
      </w:tr>
    </w:tbl>
    <w:p>
      <w:pPr>
        <w:numPr>
          <w:ilvl w:val="0"/>
          <w:numId w:val="0"/>
        </w:numPr>
        <w:spacing w:line="360" w:lineRule="auto"/>
        <w:ind w:leftChars="0"/>
        <w:rPr>
          <w:rFonts w:hint="eastAsia" w:eastAsia="宋体"/>
          <w:b/>
          <w:bCs/>
          <w:sz w:val="24"/>
          <w:szCs w:val="24"/>
          <w:lang w:val="en-US" w:eastAsia="zh-CN"/>
        </w:rPr>
      </w:pP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w:t>
      </w:r>
      <w:r>
        <w:rPr>
          <w:rFonts w:hint="eastAsia" w:ascii="宋体" w:hAnsi="宋体"/>
          <w:color w:val="FF0000"/>
          <w:sz w:val="24"/>
          <w:szCs w:val="24"/>
          <w:lang w:val="en-US" w:eastAsia="zh-CN"/>
        </w:rPr>
        <w:t>21</w:t>
      </w:r>
      <w:r>
        <w:rPr>
          <w:rFonts w:hint="eastAsia" w:ascii="宋体" w:hAnsi="宋体"/>
          <w:color w:val="FF0000"/>
          <w:sz w:val="24"/>
          <w:szCs w:val="24"/>
        </w:rPr>
        <w:t>年</w:t>
      </w:r>
      <w:r>
        <w:rPr>
          <w:rFonts w:hint="eastAsia" w:ascii="宋体" w:hAnsi="宋体"/>
          <w:color w:val="FF0000"/>
          <w:sz w:val="24"/>
          <w:szCs w:val="24"/>
          <w:highlight w:val="none"/>
          <w:lang w:val="en-US" w:eastAsia="zh-CN"/>
        </w:rPr>
        <w:t>1</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14</w:t>
      </w:r>
      <w:r>
        <w:rPr>
          <w:rFonts w:hint="eastAsia" w:ascii="宋体" w:hAnsi="宋体"/>
          <w:color w:val="FF0000"/>
          <w:sz w:val="24"/>
          <w:szCs w:val="24"/>
          <w:highlight w:val="none"/>
        </w:rPr>
        <w:t>日</w:t>
      </w:r>
      <w:r>
        <w:rPr>
          <w:rFonts w:hint="eastAsia" w:ascii="宋体" w:hAnsi="宋体"/>
          <w:sz w:val="24"/>
          <w:szCs w:val="24"/>
        </w:rPr>
        <w:t>前自行安排现场踏勘（现场踏勘联系人：</w:t>
      </w:r>
      <w:r>
        <w:rPr>
          <w:rFonts w:hint="eastAsia" w:ascii="宋体" w:hAnsi="宋体"/>
          <w:b/>
          <w:bCs/>
          <w:sz w:val="24"/>
          <w:szCs w:val="24"/>
          <w:highlight w:val="none"/>
          <w:lang w:eastAsia="zh-CN"/>
        </w:rPr>
        <w:t>蔡啸虎</w:t>
      </w:r>
      <w:r>
        <w:rPr>
          <w:rFonts w:hint="eastAsia" w:ascii="宋体" w:hAnsi="宋体"/>
          <w:b/>
          <w:bCs/>
          <w:sz w:val="24"/>
          <w:szCs w:val="24"/>
          <w:highlight w:val="none"/>
          <w:lang w:val="en-US" w:eastAsia="zh-CN"/>
        </w:rPr>
        <w:t>13915512590</w:t>
      </w:r>
      <w:r>
        <w:rPr>
          <w:rFonts w:hint="eastAsia" w:ascii="宋体" w:hAnsi="宋体"/>
          <w:b/>
          <w:bCs/>
          <w:sz w:val="24"/>
          <w:szCs w:val="24"/>
          <w:highlight w:val="none"/>
        </w:rPr>
        <w:t>/</w:t>
      </w:r>
      <w:r>
        <w:rPr>
          <w:rFonts w:hint="eastAsia" w:ascii="宋体" w:hAnsi="宋体"/>
          <w:b/>
          <w:bCs/>
          <w:sz w:val="24"/>
          <w:szCs w:val="24"/>
          <w:highlight w:val="none"/>
          <w:lang w:eastAsia="zh-CN"/>
        </w:rPr>
        <w:t>孙勇</w:t>
      </w:r>
      <w:r>
        <w:rPr>
          <w:rFonts w:hint="eastAsia" w:ascii="宋体" w:hAnsi="宋体"/>
          <w:b/>
          <w:bCs/>
          <w:sz w:val="24"/>
          <w:szCs w:val="24"/>
          <w:highlight w:val="none"/>
          <w:lang w:val="en-US" w:eastAsia="zh-CN"/>
        </w:rPr>
        <w:t>13915512024</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w:t>
      </w:r>
      <w:r>
        <w:rPr>
          <w:rFonts w:hint="eastAsia"/>
          <w:sz w:val="24"/>
          <w:szCs w:val="24"/>
          <w:lang w:eastAsia="zh-CN"/>
        </w:rPr>
        <w:t>函</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lang w:eastAsia="zh-CN"/>
        </w:rPr>
        <w:t>投标</w:t>
      </w:r>
      <w:r>
        <w:rPr>
          <w:rFonts w:hint="eastAsia"/>
          <w:sz w:val="24"/>
          <w:szCs w:val="24"/>
        </w:rPr>
        <w:t>报价书(含电子文档文件)</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资格证明材料、企业业绩、社会信誉等其他资料：企业资格证书、企业营业执照、企业税务登记证、企业信用手册等（凡提供复印件的必须加盖单位红章）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rFonts w:hint="eastAsia"/>
          <w:sz w:val="24"/>
          <w:szCs w:val="24"/>
          <w:lang w:eastAsia="zh-CN"/>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）招标家具清单一份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none"/>
        </w:rPr>
        <w:t>20</w:t>
      </w:r>
      <w:r>
        <w:rPr>
          <w:rFonts w:hint="eastAsia"/>
          <w:b/>
          <w:bCs/>
          <w:color w:val="FF0000"/>
          <w:sz w:val="24"/>
          <w:szCs w:val="24"/>
          <w:highlight w:val="none"/>
          <w:lang w:val="en-US" w:eastAsia="zh-CN"/>
        </w:rPr>
        <w:t>21</w:t>
      </w:r>
      <w:r>
        <w:rPr>
          <w:rFonts w:hint="eastAsia"/>
          <w:b/>
          <w:bCs/>
          <w:color w:val="FF0000"/>
          <w:sz w:val="24"/>
          <w:szCs w:val="24"/>
          <w:highlight w:val="none"/>
        </w:rPr>
        <w:t>年</w:t>
      </w:r>
      <w:r>
        <w:rPr>
          <w:rFonts w:hint="eastAsia"/>
          <w:b/>
          <w:bCs/>
          <w:color w:val="FF0000"/>
          <w:sz w:val="24"/>
          <w:szCs w:val="24"/>
          <w:highlight w:val="none"/>
          <w:lang w:val="en-US" w:eastAsia="zh-CN"/>
        </w:rPr>
        <w:t>1</w:t>
      </w:r>
      <w:r>
        <w:rPr>
          <w:rFonts w:hint="eastAsia"/>
          <w:b/>
          <w:bCs/>
          <w:color w:val="FF0000"/>
          <w:sz w:val="24"/>
          <w:szCs w:val="24"/>
          <w:highlight w:val="none"/>
        </w:rPr>
        <w:t>月</w:t>
      </w:r>
      <w:r>
        <w:rPr>
          <w:rFonts w:hint="eastAsia"/>
          <w:b/>
          <w:bCs/>
          <w:color w:val="FF0000"/>
          <w:sz w:val="24"/>
          <w:szCs w:val="24"/>
          <w:highlight w:val="none"/>
          <w:lang w:val="en-US" w:eastAsia="zh-CN"/>
        </w:rPr>
        <w:t>14</w:t>
      </w:r>
      <w:r>
        <w:rPr>
          <w:rFonts w:hint="eastAsia"/>
          <w:b/>
          <w:bCs/>
          <w:color w:val="FF0000"/>
          <w:sz w:val="24"/>
          <w:szCs w:val="24"/>
          <w:highlight w:val="none"/>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rFonts w:hint="eastAsia"/>
          <w:b/>
          <w:bCs/>
          <w:sz w:val="28"/>
          <w:szCs w:val="28"/>
          <w:highlight w:val="yellow"/>
        </w:rPr>
      </w:pPr>
    </w:p>
    <w:p>
      <w:pPr>
        <w:tabs>
          <w:tab w:val="left" w:pos="480"/>
        </w:tabs>
        <w:spacing w:line="360" w:lineRule="auto"/>
        <w:jc w:val="center"/>
        <w:rPr>
          <w:rFonts w:hint="eastAsia" w:eastAsia="宋体"/>
          <w:b/>
          <w:bCs/>
          <w:sz w:val="28"/>
          <w:szCs w:val="28"/>
          <w:highlight w:val="yellow"/>
          <w:lang w:eastAsia="zh-CN"/>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甲</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方</w:t>
      </w:r>
      <w:r>
        <w:rPr>
          <w:rFonts w:hint="eastAsia" w:ascii="华文楷体" w:hAnsi="华文楷体" w:eastAsia="华文楷体" w:cs="华文楷体"/>
          <w:b/>
          <w:bCs/>
          <w:sz w:val="24"/>
          <w:szCs w:val="24"/>
          <w:lang w:eastAsia="zh-CN"/>
        </w:rPr>
        <w:t>（建设方）</w:t>
      </w:r>
      <w:r>
        <w:rPr>
          <w:rFonts w:hint="eastAsia" w:ascii="华文楷体" w:hAnsi="华文楷体" w:eastAsia="华文楷体" w:cs="华文楷体"/>
          <w:b/>
          <w:bCs/>
          <w:sz w:val="24"/>
          <w:szCs w:val="24"/>
        </w:rPr>
        <w:t>：                           乙方</w:t>
      </w:r>
      <w:r>
        <w:rPr>
          <w:rFonts w:hint="eastAsia" w:ascii="华文楷体" w:hAnsi="华文楷体" w:eastAsia="华文楷体" w:cs="华文楷体"/>
          <w:b/>
          <w:bCs/>
          <w:sz w:val="24"/>
          <w:szCs w:val="24"/>
          <w:lang w:eastAsia="zh-CN"/>
        </w:rPr>
        <w:t>（供货方）</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址：                              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法定代表人：                                法定代表人：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val="en-US" w:eastAsia="zh-CN"/>
        </w:rPr>
        <w:t xml:space="preserve">    所</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所</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lang w:eastAsia="zh-CN"/>
        </w:rPr>
      </w:pPr>
      <w:r>
        <w:rPr>
          <w:rFonts w:hint="eastAsia" w:ascii="华文楷体" w:hAnsi="华文楷体" w:eastAsia="华文楷体" w:cs="华文楷体"/>
          <w:b/>
          <w:bCs/>
          <w:sz w:val="24"/>
          <w:szCs w:val="24"/>
          <w:lang w:eastAsia="zh-CN"/>
        </w:rPr>
        <w:t>注</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册</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号：</w:t>
      </w:r>
      <w:r>
        <w:rPr>
          <w:rFonts w:hint="eastAsia" w:ascii="华文楷体" w:hAnsi="华文楷体" w:eastAsia="华文楷体" w:cs="华文楷体"/>
          <w:b/>
          <w:bCs/>
          <w:sz w:val="24"/>
          <w:szCs w:val="24"/>
          <w:lang w:val="en-US" w:eastAsia="zh-CN"/>
        </w:rPr>
        <w:t xml:space="preserve">                              住    册   号</w:t>
      </w:r>
      <w:r>
        <w:rPr>
          <w:rFonts w:hint="eastAsia" w:ascii="华文楷体" w:hAnsi="华文楷体" w:eastAsia="华文楷体" w:cs="华文楷体"/>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rPr>
        <w:t>　　</w:t>
      </w:r>
      <w:r>
        <w:rPr>
          <w:rFonts w:hint="eastAsia" w:ascii="仿宋" w:hAnsi="仿宋" w:eastAsia="仿宋" w:cs="仿宋"/>
          <w:sz w:val="24"/>
          <w:szCs w:val="24"/>
        </w:rPr>
        <w:t>为维护甲、乙双方当事人的合法权益，根据《中华人民共和国合同法》、《中华人民共和国产品质量法》等法律、法规及有关规定，经双方协商一致，订立本合同。</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合同标的及价格</w:t>
      </w:r>
    </w:p>
    <w:p>
      <w:pPr>
        <w:snapToGrid w:val="0"/>
        <w:spacing w:line="336" w:lineRule="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合同标的</w:t>
      </w:r>
      <w:r>
        <w:rPr>
          <w:rFonts w:hint="eastAsia" w:ascii="仿宋" w:hAnsi="仿宋" w:eastAsia="仿宋" w:cs="仿宋"/>
          <w:sz w:val="24"/>
          <w:szCs w:val="24"/>
          <w:lang w:val="en-US" w:eastAsia="zh-CN"/>
        </w:rPr>
        <w:t>：</w:t>
      </w:r>
      <w:r>
        <w:rPr>
          <w:rFonts w:hint="eastAsia" w:ascii="仿宋" w:hAnsi="仿宋" w:eastAsia="仿宋" w:cs="仿宋"/>
          <w:sz w:val="24"/>
          <w:szCs w:val="24"/>
          <w:u w:val="single"/>
          <w:lang w:val="en-US" w:eastAsia="zh-CN"/>
        </w:rPr>
        <w:t xml:space="preserve">独墅湖书香世家酒店3-4F客房家具整修工程  </w:t>
      </w:r>
      <w:r>
        <w:rPr>
          <w:rFonts w:hint="eastAsia" w:ascii="仿宋" w:hAnsi="仿宋" w:eastAsia="仿宋" w:cs="仿宋"/>
          <w:sz w:val="24"/>
          <w:szCs w:val="24"/>
          <w:lang w:val="en-US" w:eastAsia="zh-CN"/>
        </w:rPr>
        <w:t>（具体见附件之报价清单）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合同总价款：</w:t>
      </w:r>
      <w:r>
        <w:rPr>
          <w:rFonts w:hint="eastAsia" w:ascii="仿宋" w:hAnsi="仿宋" w:eastAsia="仿宋" w:cs="仿宋"/>
          <w:sz w:val="24"/>
          <w:szCs w:val="24"/>
          <w:u w:val="none"/>
          <w:lang w:val="en-US" w:eastAsia="zh-CN"/>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其中预留金（暂列金额）</w:t>
      </w:r>
      <w:r>
        <w:rPr>
          <w:rFonts w:hint="eastAsia" w:ascii="仿宋" w:hAnsi="仿宋" w:eastAsia="仿宋" w:cs="仿宋"/>
          <w:sz w:val="24"/>
          <w:szCs w:val="24"/>
          <w:u w:val="single"/>
          <w:lang w:val="en-US" w:eastAsia="zh-CN"/>
        </w:rPr>
        <w:t xml:space="preserve">￥30000.00元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 xml:space="preserve">   合同基价 （不含预留金的合同价）</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3、履约保证金：乙方投标时提交的投标保证金6000.00元自动转为履约保证金，待工程竣工后根据履约情况退回（无息）</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竣工结算：</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合同内项目：固定综合单价，最终结算按实际数量进行结算。</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活动家具及固定家具综合单价变更：若尺寸差异在±10%之内，单项价格不做调整 ;尺寸差异超出10%，按比例调整</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木饰面结算价按实际完成木饰面面积数量结算。木饰面报价包括基层制作，如乙方无法完成，委托装饰公司施工的，则乙方同意按装饰公司的对应的价格进行扣减</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 xml:space="preserve">合同外增补家具单价参照合同内相同或相似单价的确定，合同中没有相同或相似单价的，由双方协商确定或由第三方审计单位最终确定其综合单价               </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三</w:t>
      </w:r>
      <w:r>
        <w:rPr>
          <w:rFonts w:hint="eastAsia" w:ascii="仿宋" w:hAnsi="仿宋" w:eastAsia="仿宋" w:cs="仿宋"/>
          <w:b/>
          <w:bCs/>
          <w:sz w:val="24"/>
          <w:szCs w:val="24"/>
        </w:rPr>
        <w:t>、支付方式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工程开工后7天内支付不含预留金的合同价（下称合同基价）的30%（另需扣减5%的安全、廉政保证金，实际支付25%作为工程预付款），完成总工程量的50%后再支付合同基价的30%作为进度款，工程结束经验收合格后付至合同基价的70%，工程结束审计后付至审计价的95%,剩余5%作为工程的保修金，保修期满（贰年后）无质量问题付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 双方约定以转账方式支付工程货款，</w:t>
      </w:r>
      <w:r>
        <w:rPr>
          <w:rFonts w:hint="eastAsia" w:ascii="仿宋" w:hAnsi="仿宋" w:eastAsia="仿宋" w:cs="仿宋"/>
          <w:sz w:val="24"/>
          <w:szCs w:val="24"/>
          <w:lang w:eastAsia="zh-CN"/>
        </w:rPr>
        <w:t>每次付款需要提供等额增值税专用发票</w:t>
      </w:r>
      <w:r>
        <w:rPr>
          <w:rFonts w:hint="eastAsia" w:ascii="仿宋" w:hAnsi="仿宋" w:eastAsia="仿宋" w:cs="仿宋"/>
          <w:sz w:val="24"/>
          <w:szCs w:val="24"/>
          <w:lang w:val="en-US" w:eastAsia="zh-CN"/>
        </w:rPr>
        <w:t xml:space="preserve"> ，如乙方未能提供发票，则付款时间顺延         </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四</w:t>
      </w:r>
      <w:r>
        <w:rPr>
          <w:rFonts w:hint="eastAsia" w:ascii="仿宋" w:hAnsi="仿宋" w:eastAsia="仿宋" w:cs="仿宋"/>
          <w:b/>
          <w:bCs/>
          <w:sz w:val="24"/>
          <w:szCs w:val="24"/>
        </w:rPr>
        <w:t>、家具交付期限、地点和方式、运费结算、运输风险承担及安装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45天</w:t>
      </w:r>
      <w:r>
        <w:rPr>
          <w:rFonts w:hint="eastAsia" w:ascii="仿宋" w:hAnsi="仿宋" w:eastAsia="仿宋" w:cs="仿宋"/>
          <w:sz w:val="24"/>
          <w:szCs w:val="24"/>
          <w:lang w:val="en-US" w:eastAsia="zh-CN"/>
        </w:rPr>
        <w:t>（自甲方发出中标通知书日起），如甲方原因导致工期延误，则工期可顺延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2、乙方于收到中标通知书后7日内完成标的家具的深化设计图纸及效果图（如尺寸无法测量，可提供家具式样、颜色等家具方案）供甲方确认</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3、固定家具和木饰面现场安装施工必须和装饰公司密切配合，如有影响整个装饰工程进度情况，甲方以书面通知乙方，乙方如还不能根据甲方通知要求追赶进度，</w:t>
      </w:r>
      <w:r>
        <w:rPr>
          <w:rFonts w:hint="eastAsia" w:ascii="仿宋" w:hAnsi="仿宋" w:eastAsia="仿宋" w:cs="仿宋"/>
          <w:color w:val="FF0000"/>
          <w:sz w:val="24"/>
          <w:szCs w:val="24"/>
          <w:lang w:val="en-US" w:eastAsia="zh-CN"/>
        </w:rPr>
        <w:t>则按500元/天</w:t>
      </w:r>
      <w:r>
        <w:rPr>
          <w:rFonts w:hint="eastAsia" w:ascii="仿宋" w:hAnsi="仿宋" w:eastAsia="仿宋" w:cs="仿宋"/>
          <w:sz w:val="24"/>
          <w:szCs w:val="24"/>
          <w:lang w:val="en-US" w:eastAsia="zh-CN"/>
        </w:rPr>
        <w:t>进行处罚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lang w:val="en-US" w:eastAsia="zh-CN"/>
        </w:rPr>
        <w:t>4、家具运输及上货安装：由乙方负责，家具包装袋及现场安装产生的垃圾由乙方自行清运处理。</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五、现场安全文明施工约定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 xml:space="preserve">1、在合同签订后，发包人从向承包人支付的首笔工程款中扣减合同固定总价部分的5%作为安全、廉政保证金（工程竣工移交后根据实际情况无息退给承包人） </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2、乙方必须遵守甲方相关施工管理规定，服从甲方安排。乙方严格按安全规范操作，施工中产生的垃圾及包装材料每日清理</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六</w:t>
      </w:r>
      <w:r>
        <w:rPr>
          <w:rFonts w:hint="eastAsia" w:ascii="仿宋" w:hAnsi="仿宋" w:eastAsia="仿宋" w:cs="仿宋"/>
          <w:b/>
          <w:bCs/>
          <w:sz w:val="24"/>
          <w:szCs w:val="24"/>
        </w:rPr>
        <w:t>、甲方权利及义务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甲方对乙方使用的材料具有检验权</w:t>
      </w:r>
      <w:r>
        <w:rPr>
          <w:rFonts w:hint="eastAsia" w:ascii="仿宋" w:hAnsi="仿宋" w:eastAsia="仿宋" w:cs="仿宋"/>
          <w:sz w:val="24"/>
          <w:szCs w:val="24"/>
          <w:lang w:eastAsia="zh-CN"/>
        </w:rPr>
        <w:t>，</w:t>
      </w:r>
      <w:r>
        <w:rPr>
          <w:rFonts w:hint="eastAsia" w:ascii="仿宋" w:hAnsi="仿宋" w:eastAsia="仿宋" w:cs="仿宋"/>
          <w:sz w:val="24"/>
          <w:szCs w:val="24"/>
        </w:rPr>
        <w:t>对家具的质量、数量等进行监督检验</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甲方</w:t>
      </w:r>
      <w:r>
        <w:rPr>
          <w:rFonts w:hint="eastAsia" w:ascii="仿宋" w:hAnsi="仿宋" w:eastAsia="仿宋" w:cs="仿宋"/>
          <w:sz w:val="24"/>
          <w:szCs w:val="24"/>
          <w:lang w:eastAsia="zh-CN"/>
        </w:rPr>
        <w:t>有权督促乙方安全文明施工并对安装施工现场进行检查，对乙方违反施工安全、卫生等合同附件约定的具有处罚权</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3、甲方应结合整个装饰工程进度催促乙方配合装饰公司完成家具的供货及安装进度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甲方应按照合同约定的时间、方式支付价款。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七</w:t>
      </w:r>
      <w:r>
        <w:rPr>
          <w:rFonts w:hint="eastAsia" w:ascii="仿宋" w:hAnsi="仿宋" w:eastAsia="仿宋" w:cs="仿宋"/>
          <w:b/>
          <w:bCs/>
          <w:sz w:val="24"/>
          <w:szCs w:val="24"/>
        </w:rPr>
        <w:t>、乙方权利及义务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乙方应</w:t>
      </w:r>
      <w:r>
        <w:rPr>
          <w:rFonts w:hint="eastAsia" w:ascii="仿宋" w:hAnsi="仿宋" w:eastAsia="仿宋" w:cs="仿宋"/>
          <w:sz w:val="24"/>
          <w:szCs w:val="24"/>
          <w:lang w:eastAsia="zh-CN"/>
        </w:rPr>
        <w:t>按合同约定深化家具设计，提供深化</w:t>
      </w:r>
      <w:r>
        <w:rPr>
          <w:rFonts w:hint="eastAsia" w:ascii="仿宋" w:hAnsi="仿宋" w:eastAsia="仿宋" w:cs="仿宋"/>
          <w:sz w:val="24"/>
          <w:szCs w:val="24"/>
        </w:rPr>
        <w:t>图纸</w:t>
      </w:r>
      <w:r>
        <w:rPr>
          <w:rFonts w:hint="eastAsia" w:ascii="仿宋" w:hAnsi="仿宋" w:eastAsia="仿宋" w:cs="仿宋"/>
          <w:sz w:val="24"/>
          <w:szCs w:val="24"/>
          <w:lang w:eastAsia="zh-CN"/>
        </w:rPr>
        <w:t>，家具式样、材质，面料材质颜色、材质</w:t>
      </w:r>
      <w:r>
        <w:rPr>
          <w:rFonts w:hint="eastAsia" w:ascii="仿宋" w:hAnsi="仿宋" w:eastAsia="仿宋" w:cs="仿宋"/>
          <w:sz w:val="24"/>
          <w:szCs w:val="24"/>
        </w:rPr>
        <w:t>等</w:t>
      </w:r>
      <w:r>
        <w:rPr>
          <w:rFonts w:hint="eastAsia" w:ascii="仿宋" w:hAnsi="仿宋" w:eastAsia="仿宋" w:cs="仿宋"/>
          <w:sz w:val="24"/>
          <w:szCs w:val="24"/>
          <w:lang w:eastAsia="zh-CN"/>
        </w:rPr>
        <w:t>资料给甲方</w:t>
      </w:r>
      <w:r>
        <w:rPr>
          <w:rFonts w:hint="eastAsia" w:ascii="仿宋" w:hAnsi="仿宋" w:eastAsia="仿宋" w:cs="仿宋"/>
          <w:sz w:val="24"/>
          <w:szCs w:val="24"/>
        </w:rPr>
        <w:t>确认。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乙方应按照合同</w:t>
      </w:r>
      <w:r>
        <w:rPr>
          <w:rFonts w:hint="eastAsia" w:ascii="仿宋" w:hAnsi="仿宋" w:eastAsia="仿宋" w:cs="仿宋"/>
          <w:sz w:val="24"/>
          <w:szCs w:val="24"/>
          <w:lang w:eastAsia="zh-CN"/>
        </w:rPr>
        <w:t>要求</w:t>
      </w:r>
      <w:r>
        <w:rPr>
          <w:rFonts w:hint="eastAsia" w:ascii="仿宋" w:hAnsi="仿宋" w:eastAsia="仿宋" w:cs="仿宋"/>
          <w:sz w:val="24"/>
          <w:szCs w:val="24"/>
        </w:rPr>
        <w:t>履行交货义务，同时按照合同约定提供产品的售后服务和技术支持服务。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乙方应免费提供</w:t>
      </w:r>
      <w:r>
        <w:rPr>
          <w:rFonts w:hint="eastAsia" w:ascii="仿宋" w:hAnsi="仿宋" w:eastAsia="仿宋" w:cs="仿宋"/>
          <w:sz w:val="24"/>
          <w:szCs w:val="24"/>
          <w:lang w:eastAsia="zh-CN"/>
        </w:rPr>
        <w:t>家具</w:t>
      </w:r>
      <w:r>
        <w:rPr>
          <w:rFonts w:hint="eastAsia" w:ascii="仿宋" w:hAnsi="仿宋" w:eastAsia="仿宋" w:cs="仿宋"/>
          <w:sz w:val="24"/>
          <w:szCs w:val="24"/>
        </w:rPr>
        <w:t>的保养、操作等说明资料，并可根据甲方要求培训甲方指定维护人员。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未经甲方同意，乙方不得将家具定作的主要工作交由第三人完成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5、乙方指派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为现场负责人，负责现场施工管理及与甲方或第三方施工方协调工作，</w:t>
      </w:r>
      <w:r>
        <w:rPr>
          <w:rFonts w:hint="eastAsia" w:ascii="仿宋" w:hAnsi="仿宋" w:eastAsia="仿宋" w:cs="仿宋"/>
          <w:sz w:val="24"/>
          <w:szCs w:val="24"/>
          <w:lang w:val="en-US" w:eastAsia="zh-CN"/>
        </w:rPr>
        <w:t>保证现场安全文明施工，接受现场甲方管理人员管理，严格按整个工程进度安排推进。</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八、家具质量要求及验收异议的处理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（一）家具材料要求：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1、家具涉及框架等采用优质白蜡木材质为主（或同档次实木材质）；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2、家具饰面板采用E1级多层板板材贴木皮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3、所有油漆饰面项目中，采用“华润”或相同档次品牌油漆，具有抗黄变特性，油漆工艺要求三底两面工艺；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（二）家具安装质量验收要求：按国家相关规范及本合同约定执行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w:t>
      </w:r>
      <w:r>
        <w:rPr>
          <w:rFonts w:hint="eastAsia" w:ascii="仿宋" w:hAnsi="仿宋" w:eastAsia="仿宋" w:cs="仿宋"/>
          <w:b/>
          <w:bCs/>
          <w:sz w:val="24"/>
          <w:szCs w:val="24"/>
          <w:lang w:val="en-US" w:eastAsia="zh-CN"/>
        </w:rPr>
        <w:t>质量</w:t>
      </w:r>
      <w:r>
        <w:rPr>
          <w:rFonts w:hint="eastAsia" w:ascii="仿宋" w:hAnsi="仿宋" w:eastAsia="仿宋" w:cs="仿宋"/>
          <w:b/>
          <w:bCs/>
          <w:sz w:val="24"/>
          <w:szCs w:val="24"/>
          <w:lang w:eastAsia="zh-CN"/>
        </w:rPr>
        <w:t>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甲方提出异议乙方在接到甲方的书面异议后，在</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日内进行处理。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如甲方异议成立，乙方负责对不合格产品进行维修或更换，期间运输费用由乙方承担。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由于甲方或交叉施工造成的合同产品不能通过验收，责任理清，由责任方承担相关费用。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九、售后服务及保修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（一）乙方为甲方提供本合同项下产品的安装、调试和技术支持服务。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（二）乙方对所售产品的保修期为</w:t>
      </w:r>
      <w:r>
        <w:rPr>
          <w:rFonts w:hint="eastAsia" w:ascii="仿宋" w:hAnsi="仿宋" w:eastAsia="仿宋" w:cs="仿宋"/>
          <w:sz w:val="24"/>
          <w:szCs w:val="24"/>
          <w:u w:val="single"/>
          <w:lang w:val="en-US" w:eastAsia="zh-CN"/>
        </w:rPr>
        <w:t xml:space="preserve"> 2  </w:t>
      </w:r>
      <w:r>
        <w:rPr>
          <w:rFonts w:hint="eastAsia" w:ascii="仿宋" w:hAnsi="仿宋" w:eastAsia="仿宋" w:cs="仿宋"/>
          <w:sz w:val="24"/>
          <w:szCs w:val="24"/>
          <w:lang w:eastAsia="zh-CN"/>
        </w:rPr>
        <w:t>年，自验收完成之日起计算。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（三）保修期内，乙方对所售产品的非人为故障进行免费保修服务。在保修期外，为产品维护期。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（四）在质保期内，对于未经乙方允许的合同产品进行改造、调整，视同甲方放弃保修。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（五）如果甲方或使用方人为损坏，或在产品维护期，乙方应积极配合维修，但甲方应向乙方支付材料费、人工费及交通费。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十</w:t>
      </w:r>
      <w:r>
        <w:rPr>
          <w:rFonts w:hint="eastAsia" w:ascii="仿宋" w:hAnsi="仿宋" w:eastAsia="仿宋" w:cs="仿宋"/>
          <w:b/>
          <w:bCs/>
          <w:sz w:val="24"/>
          <w:szCs w:val="24"/>
        </w:rPr>
        <w:t>、违约责任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（一）因乙方原因造成家具未达质量标准，甲方有权要求乙方无偿返工或更换，并承担</w:t>
      </w:r>
      <w:r>
        <w:rPr>
          <w:rFonts w:hint="eastAsia" w:ascii="仿宋" w:hAnsi="仿宋" w:eastAsia="仿宋" w:cs="仿宋"/>
          <w:sz w:val="24"/>
          <w:szCs w:val="24"/>
          <w:lang w:eastAsia="zh-CN"/>
        </w:rPr>
        <w:t>逾期交货</w:t>
      </w:r>
      <w:r>
        <w:rPr>
          <w:rFonts w:hint="eastAsia" w:ascii="仿宋" w:hAnsi="仿宋" w:eastAsia="仿宋" w:cs="仿宋"/>
          <w:sz w:val="24"/>
          <w:szCs w:val="24"/>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（二）乙方交付家具数量不足，甲方有权要求乙方补齐并承担相应的违约责任。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（三）乙方未经甲方同意逾期交付家具</w:t>
      </w:r>
      <w:r>
        <w:rPr>
          <w:rFonts w:hint="eastAsia" w:ascii="仿宋" w:hAnsi="仿宋" w:eastAsia="仿宋" w:cs="仿宋"/>
          <w:sz w:val="24"/>
          <w:szCs w:val="24"/>
          <w:lang w:eastAsia="zh-CN"/>
        </w:rPr>
        <w:t>导致整个工期延误</w:t>
      </w:r>
      <w:r>
        <w:rPr>
          <w:rFonts w:hint="eastAsia" w:ascii="仿宋" w:hAnsi="仿宋" w:eastAsia="仿宋" w:cs="仿宋"/>
          <w:sz w:val="24"/>
          <w:szCs w:val="24"/>
        </w:rPr>
        <w:t>的，按</w:t>
      </w:r>
      <w:r>
        <w:rPr>
          <w:rFonts w:hint="eastAsia" w:ascii="仿宋" w:hAnsi="仿宋" w:eastAsia="仿宋" w:cs="仿宋"/>
          <w:sz w:val="24"/>
          <w:szCs w:val="24"/>
          <w:lang w:eastAsia="zh-CN"/>
        </w:rPr>
        <w:t>延误天数</w:t>
      </w:r>
      <w:r>
        <w:rPr>
          <w:rFonts w:hint="eastAsia" w:ascii="仿宋" w:hAnsi="仿宋" w:eastAsia="仿宋" w:cs="仿宋"/>
          <w:sz w:val="24"/>
          <w:szCs w:val="24"/>
          <w:lang w:val="en-US" w:eastAsia="zh-CN"/>
        </w:rPr>
        <w:t>500元/天</w:t>
      </w:r>
      <w:r>
        <w:rPr>
          <w:rFonts w:hint="eastAsia" w:ascii="仿宋" w:hAnsi="仿宋" w:eastAsia="仿宋" w:cs="仿宋"/>
          <w:sz w:val="24"/>
          <w:szCs w:val="24"/>
        </w:rPr>
        <w:t>向甲方支付违约金。</w:t>
      </w:r>
      <w:r>
        <w:rPr>
          <w:rFonts w:hint="eastAsia" w:ascii="仿宋" w:hAnsi="仿宋" w:eastAsia="仿宋" w:cs="仿宋"/>
          <w:sz w:val="24"/>
          <w:szCs w:val="24"/>
          <w:lang w:eastAsia="zh-CN"/>
        </w:rPr>
        <w:t>但</w:t>
      </w:r>
      <w:r>
        <w:rPr>
          <w:rFonts w:hint="eastAsia" w:ascii="仿宋" w:hAnsi="仿宋" w:eastAsia="仿宋" w:cs="仿宋"/>
          <w:sz w:val="24"/>
          <w:szCs w:val="24"/>
        </w:rPr>
        <w:t>由于甲方原因没有积极配合乙方交货和安装调试而造成的工期延误，乙方不承担任何责任。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（四）甲方未经乙方同意逾期付款的，应按逾期付款总额每日0.1%的比例向乙方支付逾期付款违约金。　　　　　　　　　　　　　　　　　　　　　　　　　　　　　　　　　　　　　　　　　　　　　　　　　　　　　　　　　　　</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知识产权及保密条款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（一）甲方尊重乙方的知识产权，对有关产品所涉及商标、专利等权利，乙方必须按照甲方的指导加以使用。未经甲方同意，乙方不得对甲方产品进行更改，不得随意加贴其他品牌商标进行销售。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二</w:t>
      </w:r>
      <w:r>
        <w:rPr>
          <w:rFonts w:hint="eastAsia" w:ascii="仿宋" w:hAnsi="仿宋" w:eastAsia="仿宋" w:cs="仿宋"/>
          <w:b/>
          <w:bCs/>
          <w:sz w:val="24"/>
          <w:szCs w:val="24"/>
        </w:rPr>
        <w:t>、不可抗力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（一）任何一方因不可抗力造成全部或部分不能履行合同的，可免除相应责任。但迟延履行后发生不可抗力的，不能免除责任。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（二）遇有不可抗力的一方，应及时书面通知对方。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（三）如不可抗力事故的影响持续30天以上时，合同各方应尽快通过友好协商解决本合同履行问题，并尽快达成协议。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十三、合同的变更及解除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（一）合同的变更及解除均采用书面形式。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（二）双方协商一致可对本合同进行变更或解除。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（三）一方中途变更或解除合同，应书面通知另一方，因此造成损失的，应赔偿相应损失。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四</w:t>
      </w:r>
      <w:r>
        <w:rPr>
          <w:rFonts w:hint="eastAsia" w:ascii="仿宋" w:hAnsi="仿宋" w:eastAsia="仿宋" w:cs="仿宋"/>
          <w:b/>
          <w:bCs/>
          <w:sz w:val="24"/>
          <w:szCs w:val="24"/>
        </w:rPr>
        <w:t>、争议解决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发生的争议，由双方协商解决</w:t>
      </w:r>
      <w:r>
        <w:rPr>
          <w:rFonts w:hint="eastAsia" w:ascii="仿宋" w:hAnsi="仿宋" w:eastAsia="仿宋" w:cs="仿宋"/>
          <w:sz w:val="24"/>
          <w:szCs w:val="24"/>
          <w:lang w:eastAsia="zh-CN"/>
        </w:rPr>
        <w:t>，协商不成时任何一方均可向甲方所在地人民法院提起诉讼。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五</w:t>
      </w:r>
      <w:r>
        <w:rPr>
          <w:rFonts w:hint="eastAsia" w:ascii="仿宋" w:hAnsi="仿宋" w:eastAsia="仿宋" w:cs="仿宋"/>
          <w:b/>
          <w:bCs/>
          <w:sz w:val="24"/>
          <w:szCs w:val="24"/>
        </w:rPr>
        <w:t>、本合同一式_________份，甲、乙双方各执_________份。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六</w:t>
      </w:r>
      <w:r>
        <w:rPr>
          <w:rFonts w:hint="eastAsia" w:ascii="仿宋" w:hAnsi="仿宋" w:eastAsia="仿宋" w:cs="仿宋"/>
          <w:b/>
          <w:bCs/>
          <w:sz w:val="24"/>
          <w:szCs w:val="24"/>
        </w:rPr>
        <w:t>、</w:t>
      </w:r>
      <w:r>
        <w:rPr>
          <w:rFonts w:hint="eastAsia" w:ascii="仿宋" w:hAnsi="仿宋" w:eastAsia="仿宋" w:cs="仿宋"/>
          <w:b/>
          <w:bCs/>
          <w:sz w:val="24"/>
          <w:szCs w:val="24"/>
          <w:lang w:eastAsia="zh-CN"/>
        </w:rPr>
        <w:t>其他约定事项：</w:t>
      </w:r>
      <w:r>
        <w:rPr>
          <w:rFonts w:hint="eastAsia" w:ascii="仿宋" w:hAnsi="仿宋" w:eastAsia="仿宋" w:cs="仿宋"/>
          <w:b/>
          <w:bCs/>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（以下为签署页无正文）</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rFonts w:hint="eastAsia" w:ascii="华文细黑" w:hAnsi="华文细黑" w:eastAsia="华文细黑" w:cs="Tahoma"/>
          <w:b/>
          <w:bCs/>
          <w:sz w:val="44"/>
          <w:szCs w:val="44"/>
        </w:rPr>
      </w:pPr>
      <w:r>
        <w:rPr>
          <w:rFonts w:hint="eastAsia" w:ascii="华文细黑" w:hAnsi="华文细黑" w:eastAsia="华文细黑" w:cs="Tahoma"/>
          <w:b/>
          <w:bCs/>
          <w:sz w:val="44"/>
          <w:szCs w:val="44"/>
          <w:lang w:val="en-US" w:eastAsia="zh-CN"/>
        </w:rPr>
        <w:t>独墅湖书香世家酒店3-4F客房家具整修工程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szCs w:val="21"/>
        </w:rPr>
      </w:pPr>
      <w:r>
        <w:rPr>
          <w:rFonts w:hint="eastAsia"/>
          <w:szCs w:val="21"/>
        </w:rPr>
        <w:t>对现场条件及投标实物样板充分了解的承诺书</w:t>
      </w:r>
    </w:p>
    <w:p>
      <w:pPr>
        <w:numPr>
          <w:ilvl w:val="2"/>
          <w:numId w:val="9"/>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独墅湖书香世家酒店3-4F客房家具整修工程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独墅湖书香世家酒店3-4F客房家具整修工程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独墅湖书香世家酒店3-4F客房家具整修工程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独墅湖书香世家酒店3-4F客房家具整修工程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一、独墅湖书香世家酒店3-4F客房家具整修工程</w:t>
      </w:r>
      <w:r>
        <w:rPr>
          <w:rFonts w:hint="eastAsia"/>
          <w:b/>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 xml:space="preserve">     独墅湖书香世家酒店有限公司</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21</w:t>
      </w:r>
      <w:r>
        <w:rPr>
          <w:rFonts w:hint="eastAsia"/>
          <w:sz w:val="28"/>
          <w:szCs w:val="28"/>
        </w:rPr>
        <w:t>年</w:t>
      </w:r>
      <w:r>
        <w:rPr>
          <w:rFonts w:hint="eastAsia"/>
          <w:sz w:val="28"/>
          <w:szCs w:val="28"/>
          <w:lang w:val="en-US" w:eastAsia="zh-CN"/>
        </w:rPr>
        <w:t>01</w:t>
      </w:r>
      <w:r>
        <w:rPr>
          <w:rFonts w:hint="eastAsia"/>
          <w:sz w:val="28"/>
          <w:szCs w:val="28"/>
        </w:rPr>
        <w:t>月</w:t>
      </w:r>
      <w:r>
        <w:rPr>
          <w:rFonts w:hint="eastAsia"/>
          <w:sz w:val="28"/>
          <w:szCs w:val="28"/>
          <w:lang w:val="en-US" w:eastAsia="zh-CN"/>
        </w:rPr>
        <w:t>05</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lang w:eastAsia="zh-CN"/>
        </w:rPr>
        <w:t>附件1：苏州独墅湖书香世家酒店3-4F家具整修暂估工程量清单</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08D9E8B"/>
    <w:multiLevelType w:val="singleLevel"/>
    <w:tmpl w:val="008D9E8B"/>
    <w:lvl w:ilvl="0" w:tentative="0">
      <w:start w:val="1"/>
      <w:numFmt w:val="decimal"/>
      <w:suff w:val="nothing"/>
      <w:lvlText w:val="%1、"/>
      <w:lvlJc w:val="left"/>
    </w:lvl>
  </w:abstractNum>
  <w:abstractNum w:abstractNumId="2">
    <w:nsid w:val="2FD8C7E9"/>
    <w:multiLevelType w:val="singleLevel"/>
    <w:tmpl w:val="2FD8C7E9"/>
    <w:lvl w:ilvl="0" w:tentative="0">
      <w:start w:val="1"/>
      <w:numFmt w:val="decimal"/>
      <w:suff w:val="nothing"/>
      <w:lvlText w:val="%1、"/>
      <w:lvlJc w:val="left"/>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CDB8825"/>
    <w:multiLevelType w:val="singleLevel"/>
    <w:tmpl w:val="5CDB8825"/>
    <w:lvl w:ilvl="0" w:tentative="0">
      <w:start w:val="1"/>
      <w:numFmt w:val="chineseCounting"/>
      <w:suff w:val="nothing"/>
      <w:lvlText w:val="%1、"/>
      <w:lvlJc w:val="left"/>
    </w:lvl>
  </w:abstractNum>
  <w:abstractNum w:abstractNumId="7">
    <w:nsid w:val="5CDBBB28"/>
    <w:multiLevelType w:val="singleLevel"/>
    <w:tmpl w:val="5CDBBB28"/>
    <w:lvl w:ilvl="0" w:tentative="0">
      <w:start w:val="11"/>
      <w:numFmt w:val="chineseCounting"/>
      <w:suff w:val="nothing"/>
      <w:lvlText w:val="%1、"/>
      <w:lvlJc w:val="left"/>
    </w:lvl>
  </w:abstractNum>
  <w:abstractNum w:abstractNumId="8">
    <w:nsid w:val="7C68F139"/>
    <w:multiLevelType w:val="singleLevel"/>
    <w:tmpl w:val="7C68F139"/>
    <w:lvl w:ilvl="0" w:tentative="0">
      <w:start w:val="1"/>
      <w:numFmt w:val="decimal"/>
      <w:suff w:val="nothing"/>
      <w:lvlText w:val="%1、"/>
      <w:lvlJc w:val="left"/>
    </w:lvl>
  </w:abstractNum>
  <w:num w:numId="1">
    <w:abstractNumId w:val="8"/>
  </w:num>
  <w:num w:numId="2">
    <w:abstractNumId w:val="2"/>
  </w:num>
  <w:num w:numId="3">
    <w:abstractNumId w:val="4"/>
  </w:num>
  <w:num w:numId="4">
    <w:abstractNumId w:val="5"/>
  </w:num>
  <w:num w:numId="5">
    <w:abstractNumId w:val="0"/>
  </w:num>
  <w:num w:numId="6">
    <w:abstractNumId w:val="6"/>
  </w:num>
  <w:num w:numId="7">
    <w:abstractNumId w:val="1"/>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4311C4E"/>
    <w:rsid w:val="050117CC"/>
    <w:rsid w:val="06504A72"/>
    <w:rsid w:val="076B32D4"/>
    <w:rsid w:val="07BC12EF"/>
    <w:rsid w:val="0856062D"/>
    <w:rsid w:val="08C26B32"/>
    <w:rsid w:val="08C5051D"/>
    <w:rsid w:val="090D202D"/>
    <w:rsid w:val="091D3F5E"/>
    <w:rsid w:val="0B287975"/>
    <w:rsid w:val="0BB8680F"/>
    <w:rsid w:val="0C701B7F"/>
    <w:rsid w:val="0CCC038B"/>
    <w:rsid w:val="0D0A3188"/>
    <w:rsid w:val="0E620C08"/>
    <w:rsid w:val="0E7A670E"/>
    <w:rsid w:val="0EA07550"/>
    <w:rsid w:val="0FA9390D"/>
    <w:rsid w:val="11826765"/>
    <w:rsid w:val="11FE3433"/>
    <w:rsid w:val="12BD22AD"/>
    <w:rsid w:val="13B30401"/>
    <w:rsid w:val="14614CD0"/>
    <w:rsid w:val="165D574B"/>
    <w:rsid w:val="16755A32"/>
    <w:rsid w:val="16BB1D3B"/>
    <w:rsid w:val="173C598B"/>
    <w:rsid w:val="174625CD"/>
    <w:rsid w:val="17EB176B"/>
    <w:rsid w:val="185B7342"/>
    <w:rsid w:val="18E35F7D"/>
    <w:rsid w:val="196F12E4"/>
    <w:rsid w:val="1A267315"/>
    <w:rsid w:val="1AF72300"/>
    <w:rsid w:val="1AFC0475"/>
    <w:rsid w:val="1BC570E4"/>
    <w:rsid w:val="1D7A2005"/>
    <w:rsid w:val="1D9305D0"/>
    <w:rsid w:val="1F6024E0"/>
    <w:rsid w:val="207E7F83"/>
    <w:rsid w:val="20C10BA7"/>
    <w:rsid w:val="20E46263"/>
    <w:rsid w:val="22206576"/>
    <w:rsid w:val="24FA5254"/>
    <w:rsid w:val="25A36702"/>
    <w:rsid w:val="25E34D3F"/>
    <w:rsid w:val="268863F7"/>
    <w:rsid w:val="27B81661"/>
    <w:rsid w:val="27D328D5"/>
    <w:rsid w:val="27DE63C3"/>
    <w:rsid w:val="281B66B2"/>
    <w:rsid w:val="28217F43"/>
    <w:rsid w:val="28367BE4"/>
    <w:rsid w:val="28F01EE4"/>
    <w:rsid w:val="2A2969F4"/>
    <w:rsid w:val="2A8B74BD"/>
    <w:rsid w:val="2AAB3D7F"/>
    <w:rsid w:val="2CA4188C"/>
    <w:rsid w:val="2D685930"/>
    <w:rsid w:val="2E367DBC"/>
    <w:rsid w:val="2E6A35C0"/>
    <w:rsid w:val="2F8E0489"/>
    <w:rsid w:val="30B26F2F"/>
    <w:rsid w:val="31D25200"/>
    <w:rsid w:val="32690447"/>
    <w:rsid w:val="32701839"/>
    <w:rsid w:val="33346E80"/>
    <w:rsid w:val="34E169FC"/>
    <w:rsid w:val="35E44200"/>
    <w:rsid w:val="35EC631A"/>
    <w:rsid w:val="36596A9D"/>
    <w:rsid w:val="365D72CC"/>
    <w:rsid w:val="37E93F0E"/>
    <w:rsid w:val="392748DD"/>
    <w:rsid w:val="3AA101B9"/>
    <w:rsid w:val="3D9C350E"/>
    <w:rsid w:val="3E55351E"/>
    <w:rsid w:val="3E9713C0"/>
    <w:rsid w:val="3E995763"/>
    <w:rsid w:val="3E9D0E97"/>
    <w:rsid w:val="3EF87A6D"/>
    <w:rsid w:val="3F4D7D97"/>
    <w:rsid w:val="3F685F82"/>
    <w:rsid w:val="407D2E4D"/>
    <w:rsid w:val="41103E9B"/>
    <w:rsid w:val="41576D7B"/>
    <w:rsid w:val="41604BFD"/>
    <w:rsid w:val="41940D35"/>
    <w:rsid w:val="425F2D6F"/>
    <w:rsid w:val="42E44138"/>
    <w:rsid w:val="43F21023"/>
    <w:rsid w:val="4480471D"/>
    <w:rsid w:val="44D91631"/>
    <w:rsid w:val="451B4A7E"/>
    <w:rsid w:val="456C74AC"/>
    <w:rsid w:val="46337FCA"/>
    <w:rsid w:val="48FC5BBC"/>
    <w:rsid w:val="495A7675"/>
    <w:rsid w:val="4D74479F"/>
    <w:rsid w:val="4FFF6617"/>
    <w:rsid w:val="50502A0C"/>
    <w:rsid w:val="50D87218"/>
    <w:rsid w:val="510D4F58"/>
    <w:rsid w:val="51723C89"/>
    <w:rsid w:val="518C2C03"/>
    <w:rsid w:val="5251274D"/>
    <w:rsid w:val="52537DE4"/>
    <w:rsid w:val="54847773"/>
    <w:rsid w:val="54CC5EBB"/>
    <w:rsid w:val="558619EB"/>
    <w:rsid w:val="56433D13"/>
    <w:rsid w:val="586C64CB"/>
    <w:rsid w:val="599256CF"/>
    <w:rsid w:val="59CC4AED"/>
    <w:rsid w:val="5A1E7733"/>
    <w:rsid w:val="5A43340D"/>
    <w:rsid w:val="5A450F6B"/>
    <w:rsid w:val="5A6735C9"/>
    <w:rsid w:val="5B873401"/>
    <w:rsid w:val="5B8A3610"/>
    <w:rsid w:val="5BAF3B52"/>
    <w:rsid w:val="5D2E244F"/>
    <w:rsid w:val="5E120245"/>
    <w:rsid w:val="60552271"/>
    <w:rsid w:val="61124CE1"/>
    <w:rsid w:val="61184FAB"/>
    <w:rsid w:val="616B6389"/>
    <w:rsid w:val="617A5969"/>
    <w:rsid w:val="617C27C8"/>
    <w:rsid w:val="6180007C"/>
    <w:rsid w:val="61D07765"/>
    <w:rsid w:val="61EB5F5B"/>
    <w:rsid w:val="636B227A"/>
    <w:rsid w:val="63C40DE8"/>
    <w:rsid w:val="63EF5947"/>
    <w:rsid w:val="64E22FFD"/>
    <w:rsid w:val="65D7570C"/>
    <w:rsid w:val="664E76E7"/>
    <w:rsid w:val="66B172B2"/>
    <w:rsid w:val="67077ED9"/>
    <w:rsid w:val="67936A17"/>
    <w:rsid w:val="67950753"/>
    <w:rsid w:val="679C438D"/>
    <w:rsid w:val="67E02E9E"/>
    <w:rsid w:val="684D465C"/>
    <w:rsid w:val="6B0472E6"/>
    <w:rsid w:val="6B4B2548"/>
    <w:rsid w:val="6D22664C"/>
    <w:rsid w:val="6D962563"/>
    <w:rsid w:val="6E044008"/>
    <w:rsid w:val="702E2E81"/>
    <w:rsid w:val="71F326B8"/>
    <w:rsid w:val="72844BC1"/>
    <w:rsid w:val="7321788E"/>
    <w:rsid w:val="74C50C2F"/>
    <w:rsid w:val="75265064"/>
    <w:rsid w:val="764A4858"/>
    <w:rsid w:val="768B77ED"/>
    <w:rsid w:val="76D05753"/>
    <w:rsid w:val="76D2425D"/>
    <w:rsid w:val="7714539C"/>
    <w:rsid w:val="798427AC"/>
    <w:rsid w:val="7A1303D5"/>
    <w:rsid w:val="7A644347"/>
    <w:rsid w:val="7A9B3CEA"/>
    <w:rsid w:val="7B4139DF"/>
    <w:rsid w:val="7B93557A"/>
    <w:rsid w:val="7CF72D47"/>
    <w:rsid w:val="7CFA5801"/>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7452</Words>
  <Characters>7772</Characters>
  <Lines>104</Lines>
  <Paragraphs>29</Paragraphs>
  <TotalTime>21</TotalTime>
  <ScaleCrop>false</ScaleCrop>
  <LinksUpToDate>false</LinksUpToDate>
  <CharactersWithSpaces>8613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2021-01-11T03:40:34Z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