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SXCG202011-C-021</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胥城食品公司年货炒货采购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20</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11</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13</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胥城食品公司年货炒货采购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SXCG202011-C-021</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20</w:t>
      </w:r>
      <w:r>
        <w:rPr>
          <w:rFonts w:hint="eastAsia" w:ascii="仿宋" w:hAnsi="仿宋" w:eastAsia="仿宋" w:cs="仿宋"/>
          <w:sz w:val="24"/>
          <w:szCs w:val="28"/>
        </w:rPr>
        <w:t>年</w:t>
      </w:r>
      <w:r>
        <w:rPr>
          <w:rFonts w:hint="eastAsia" w:ascii="仿宋" w:hAnsi="仿宋" w:eastAsia="仿宋" w:cs="仿宋"/>
          <w:sz w:val="24"/>
          <w:szCs w:val="28"/>
          <w:lang w:val="en-US" w:eastAsia="zh-CN"/>
        </w:rPr>
        <w:t>11</w:t>
      </w:r>
      <w:r>
        <w:rPr>
          <w:rFonts w:hint="eastAsia" w:ascii="仿宋" w:hAnsi="仿宋" w:eastAsia="仿宋" w:cs="仿宋"/>
          <w:sz w:val="24"/>
          <w:szCs w:val="28"/>
        </w:rPr>
        <w:t>月</w:t>
      </w:r>
      <w:r>
        <w:rPr>
          <w:rFonts w:hint="eastAsia" w:ascii="仿宋" w:hAnsi="仿宋" w:eastAsia="仿宋" w:cs="仿宋"/>
          <w:sz w:val="24"/>
          <w:szCs w:val="28"/>
          <w:lang w:val="en-US" w:eastAsia="zh-CN"/>
        </w:rPr>
        <w:t>20</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：SXCG202011-C-021</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：胥城食品公司年货炒货采购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招标文件咨询联系人：周工，电话：17761883525</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①、2020年11 月20 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6、每一品种需要提供本年度第三方质量检测合格报告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7、成品保质期不能低于270天</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8、能根据需求安排送货时间</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9、每个品种需无偿提供</w:t>
            </w:r>
            <w:r>
              <w:rPr>
                <w:rFonts w:hint="eastAsia" w:ascii="仿宋" w:hAnsi="仿宋" w:eastAsia="仿宋" w:cs="仿宋"/>
                <w:b/>
                <w:bCs/>
                <w:color w:val="FF0000"/>
                <w:sz w:val="24"/>
                <w:szCs w:val="28"/>
                <w:highlight w:val="yellow"/>
                <w:lang w:val="en-US" w:eastAsia="zh-CN"/>
              </w:rPr>
              <w:t>样品一份，进行试吃封样，无论中标与否均不退回。</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11</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 xml:space="preserve">  26 </w:t>
            </w:r>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r>
              <w:rPr>
                <w:rFonts w:hint="eastAsia"/>
                <w:sz w:val="24"/>
                <w:szCs w:val="24"/>
                <w:highlight w:val="yellow"/>
                <w:lang w:val="en-US" w:eastAsia="zh-CN"/>
              </w:rPr>
              <w:t>（只接收投标文件，不接受咨询）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20"/>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采购清单</w:t>
      </w:r>
    </w:p>
    <w:tbl>
      <w:tblPr>
        <w:tblStyle w:val="21"/>
        <w:tblW w:w="8685" w:type="dxa"/>
        <w:tblInd w:w="0" w:type="dxa"/>
        <w:shd w:val="clear" w:color="auto" w:fill="auto"/>
        <w:tblLayout w:type="autofit"/>
        <w:tblCellMar>
          <w:top w:w="0" w:type="dxa"/>
          <w:left w:w="0" w:type="dxa"/>
          <w:bottom w:w="0" w:type="dxa"/>
          <w:right w:w="0" w:type="dxa"/>
        </w:tblCellMar>
      </w:tblPr>
      <w:tblGrid>
        <w:gridCol w:w="1080"/>
        <w:gridCol w:w="2115"/>
        <w:gridCol w:w="1320"/>
        <w:gridCol w:w="1530"/>
        <w:gridCol w:w="1320"/>
        <w:gridCol w:w="1320"/>
      </w:tblGrid>
      <w:tr>
        <w:tblPrEx>
          <w:shd w:val="clear" w:color="auto" w:fill="auto"/>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品名</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金额</w:t>
            </w: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手剥山核桃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香瓜子</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多彩花生</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综合果蔬干</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混合坚果</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带衣腰果</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手剥巴旦木</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开心果</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奶油西瓜子</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多彩葡萄干</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罐</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210克</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8685"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rPr>
                <w:rFonts w:hint="eastAsia" w:ascii="宋体" w:hAnsi="宋体" w:cs="宋体"/>
                <w:i w:val="0"/>
                <w:color w:val="000000"/>
                <w:sz w:val="24"/>
                <w:szCs w:val="24"/>
                <w:u w:val="none"/>
                <w:lang w:val="en-US" w:eastAsia="zh-CN"/>
              </w:rPr>
            </w:pPr>
            <w:r>
              <w:rPr>
                <w:rFonts w:hint="eastAsia" w:ascii="宋体" w:hAnsi="宋体" w:eastAsia="宋体" w:cs="宋体"/>
                <w:i w:val="0"/>
                <w:color w:val="000000"/>
                <w:sz w:val="24"/>
                <w:szCs w:val="24"/>
                <w:u w:val="none"/>
                <w:lang w:eastAsia="zh-CN"/>
              </w:rPr>
              <w:t>备注：</w:t>
            </w:r>
            <w:r>
              <w:rPr>
                <w:rFonts w:hint="eastAsia" w:ascii="宋体" w:hAnsi="宋体" w:cs="宋体"/>
                <w:i w:val="0"/>
                <w:color w:val="000000"/>
                <w:sz w:val="24"/>
                <w:szCs w:val="24"/>
                <w:u w:val="none"/>
                <w:lang w:val="en-US" w:eastAsia="zh-CN"/>
              </w:rPr>
              <w:t>1、每个品种数量预计为</w:t>
            </w:r>
            <w:r>
              <w:rPr>
                <w:rFonts w:hint="eastAsia" w:ascii="宋体" w:hAnsi="宋体" w:cs="宋体"/>
                <w:b/>
                <w:bCs/>
                <w:i w:val="0"/>
                <w:color w:val="000000"/>
                <w:sz w:val="24"/>
                <w:szCs w:val="24"/>
                <w:u w:val="none"/>
                <w:lang w:val="en-US" w:eastAsia="zh-CN"/>
              </w:rPr>
              <w:t>10000罐</w:t>
            </w:r>
            <w:r>
              <w:rPr>
                <w:rFonts w:hint="eastAsia" w:ascii="宋体" w:hAnsi="宋体" w:cs="宋体"/>
                <w:i w:val="0"/>
                <w:color w:val="000000"/>
                <w:sz w:val="24"/>
                <w:szCs w:val="24"/>
                <w:u w:val="none"/>
                <w:lang w:val="en-US" w:eastAsia="zh-CN"/>
              </w:rPr>
              <w:t>，以实际交货为准。</w:t>
            </w:r>
          </w:p>
          <w:p>
            <w:pPr>
              <w:numPr>
                <w:ilvl w:val="0"/>
                <w:numId w:val="0"/>
              </w:numPr>
              <w:spacing w:line="400" w:lineRule="atLeast"/>
              <w:rPr>
                <w:rFonts w:hint="default" w:ascii="宋体" w:hAnsi="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2、包装罐子为食品级材质，款式以甲方提供的样品罐为准。</w:t>
            </w:r>
          </w:p>
          <w:p>
            <w:pPr>
              <w:jc w:val="both"/>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3、以上报价含运费（包含卸货），13%税金等费用</w:t>
            </w:r>
          </w:p>
        </w:tc>
      </w:tr>
    </w:tbl>
    <w:p>
      <w:pPr>
        <w:numPr>
          <w:ilvl w:val="0"/>
          <w:numId w:val="5"/>
        </w:numPr>
        <w:spacing w:line="400" w:lineRule="atLeast"/>
        <w:ind w:left="0" w:leftChars="0" w:firstLine="0" w:firstLine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评分标准</w:t>
      </w:r>
    </w:p>
    <w:tbl>
      <w:tblPr>
        <w:tblStyle w:val="21"/>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nil"/>
              <w:left w:val="single" w:color="auto" w:sz="4"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4" w:space="0"/>
              <w:bottom w:val="single" w:color="auto" w:sz="4"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口感评分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口感评分认可度最高得</w:t>
            </w:r>
            <w:r>
              <w:rPr>
                <w:rFonts w:hint="eastAsia" w:ascii="仿宋" w:hAnsi="仿宋" w:eastAsia="仿宋" w:cs="仿宋"/>
                <w:color w:val="000000"/>
                <w:kern w:val="0"/>
                <w:sz w:val="24"/>
                <w:szCs w:val="24"/>
                <w:lang w:val="en-US" w:eastAsia="zh-CN"/>
              </w:rPr>
              <w:t>15分，认可度第二的得10分，认可度第三的得5分，以此类推</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15</w:t>
            </w: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质量要求</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投标单位具有效期内的质量管理体系（GB/T19001/ ISO9001），食品安全管理体系（GB/T22000/ISO22000），职业健康安全管理体系（GB/T18001）、环境管理体系</w:t>
            </w:r>
            <w:r>
              <w:rPr>
                <w:rFonts w:hint="eastAsia" w:ascii="仿宋" w:hAnsi="仿宋" w:eastAsia="仿宋" w:cs="仿宋"/>
                <w:color w:val="000000"/>
                <w:kern w:val="0"/>
                <w:sz w:val="24"/>
                <w:szCs w:val="24"/>
                <w:lang w:val="en-US" w:eastAsia="zh-CN"/>
              </w:rPr>
              <w:t>(GB/T14001/ISO14001)，具有一个得2分，最高5分。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成功案例</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有知名品牌代加工经验</w:t>
            </w:r>
            <w:r>
              <w:rPr>
                <w:rFonts w:hint="eastAsia" w:ascii="仿宋" w:hAnsi="仿宋" w:eastAsia="仿宋" w:cs="仿宋"/>
                <w:color w:val="000000"/>
                <w:kern w:val="0"/>
                <w:sz w:val="24"/>
                <w:szCs w:val="24"/>
                <w:lang w:val="en-US" w:eastAsia="zh-CN"/>
              </w:rPr>
              <w:t>1家得3分，最高10分，需要在投标书内提供合同复印件，否则不得分。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10</w:t>
            </w:r>
          </w:p>
        </w:tc>
      </w:tr>
    </w:tbl>
    <w:p>
      <w:pPr>
        <w:pStyle w:val="20"/>
        <w:numPr>
          <w:ilvl w:val="0"/>
          <w:numId w:val="6"/>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jc w:val="center"/>
        <w:rPr>
          <w:rFonts w:hint="eastAsia" w:ascii="华文细黑" w:hAnsi="华文细黑" w:eastAsia="华文细黑"/>
          <w:sz w:val="32"/>
          <w:szCs w:val="32"/>
          <w:lang w:eastAsia="zh-CN"/>
        </w:rPr>
      </w:pPr>
      <w:bookmarkStart w:id="6" w:name="_Toc6627"/>
      <w:bookmarkStart w:id="7" w:name="_Toc8991"/>
    </w:p>
    <w:p>
      <w:pPr>
        <w:jc w:val="left"/>
        <w:rPr>
          <w:rFonts w:ascii="华文细黑" w:hAnsi="华文细黑" w:eastAsia="华文细黑"/>
          <w:szCs w:val="21"/>
        </w:rPr>
      </w:pPr>
    </w:p>
    <w:p>
      <w:pPr>
        <w:spacing w:line="360" w:lineRule="auto"/>
        <w:rPr>
          <w:rFonts w:hint="eastAsia" w:ascii="华文细黑" w:hAnsi="华文细黑" w:eastAsia="华文细黑"/>
          <w:color w:val="000000"/>
          <w:szCs w:val="21"/>
          <w:lang w:eastAsia="zh-CN"/>
        </w:rPr>
      </w:pPr>
      <w:r>
        <w:rPr>
          <w:rFonts w:hint="eastAsia" w:ascii="华文细黑" w:hAnsi="华文细黑" w:eastAsia="华文细黑"/>
          <w:color w:val="000000"/>
          <w:szCs w:val="21"/>
        </w:rPr>
        <w:t>采购方（甲方）：</w:t>
      </w:r>
      <w:r>
        <w:rPr>
          <w:rFonts w:hint="eastAsia" w:ascii="华文细黑" w:hAnsi="华文细黑" w:eastAsia="华文细黑"/>
          <w:color w:val="000000"/>
          <w:szCs w:val="21"/>
          <w:lang w:eastAsia="zh-CN"/>
        </w:rPr>
        <w:t>苏州胥城食品有限公司</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供货方（乙方）：</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 xml:space="preserve">地址：                                    电话：          </w:t>
      </w:r>
    </w:p>
    <w:p>
      <w:pPr>
        <w:spacing w:line="360" w:lineRule="auto"/>
        <w:rPr>
          <w:rFonts w:ascii="华文细黑" w:hAnsi="华文细黑" w:eastAsia="华文细黑"/>
          <w:color w:val="000000"/>
          <w:szCs w:val="21"/>
        </w:rPr>
      </w:pPr>
      <w:r>
        <w:rPr>
          <w:rFonts w:hint="eastAsia" w:ascii="华文细黑" w:hAnsi="华文细黑" w:eastAsia="华文细黑"/>
          <w:color w:val="000000"/>
          <w:szCs w:val="21"/>
        </w:rPr>
        <w:t>购销双方依据《中华人民共和国合同法》及其他相关法律法规，经过自愿平等协商，就达成协议如下：</w:t>
      </w:r>
    </w:p>
    <w:p>
      <w:pPr>
        <w:spacing w:line="360" w:lineRule="auto"/>
        <w:ind w:firstLine="482"/>
        <w:rPr>
          <w:rFonts w:ascii="华文细黑" w:hAnsi="华文细黑" w:eastAsia="华文细黑"/>
          <w:color w:val="000000"/>
          <w:szCs w:val="21"/>
        </w:rPr>
      </w:pPr>
      <w:r>
        <w:rPr>
          <w:rFonts w:hint="eastAsia" w:ascii="华文细黑" w:hAnsi="华文细黑" w:eastAsia="华文细黑"/>
          <w:b/>
          <w:color w:val="000000"/>
          <w:szCs w:val="21"/>
        </w:rPr>
        <w:t>第一条</w:t>
      </w:r>
      <w:r>
        <w:rPr>
          <w:rFonts w:hint="eastAsia" w:ascii="华文细黑" w:hAnsi="华文细黑" w:eastAsia="华文细黑"/>
          <w:color w:val="000000"/>
          <w:szCs w:val="21"/>
        </w:rPr>
        <w:t xml:space="preserve"> 乙方向甲方提供如下产品（详见下表清单）</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1395"/>
        <w:gridCol w:w="1215"/>
        <w:gridCol w:w="1125"/>
        <w:gridCol w:w="1230"/>
        <w:gridCol w:w="85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6" w:type="dxa"/>
          </w:tcPr>
          <w:p>
            <w:pPr>
              <w:pStyle w:val="35"/>
              <w:spacing w:line="240" w:lineRule="auto"/>
              <w:outlineLvl w:val="1"/>
              <w:rPr>
                <w:rFonts w:ascii="华文细黑" w:hAnsi="华文细黑" w:eastAsia="华文细黑"/>
                <w:bCs/>
                <w:szCs w:val="21"/>
              </w:rPr>
            </w:pPr>
            <w:bookmarkStart w:id="8" w:name="_Toc28095"/>
            <w:bookmarkStart w:id="9" w:name="_Toc8295"/>
            <w:bookmarkStart w:id="10" w:name="_Toc7502"/>
            <w:bookmarkStart w:id="11" w:name="_Toc5533"/>
            <w:bookmarkStart w:id="12" w:name="_Toc4140"/>
            <w:bookmarkStart w:id="13" w:name="_Toc22786"/>
            <w:bookmarkStart w:id="14" w:name="_Toc499892167"/>
            <w:r>
              <w:rPr>
                <w:rFonts w:hint="eastAsia" w:ascii="华文细黑" w:hAnsi="华文细黑" w:eastAsia="华文细黑"/>
                <w:bCs/>
                <w:szCs w:val="21"/>
              </w:rPr>
              <w:t>品名</w:t>
            </w:r>
            <w:bookmarkEnd w:id="8"/>
            <w:bookmarkEnd w:id="9"/>
            <w:bookmarkEnd w:id="10"/>
            <w:bookmarkEnd w:id="11"/>
            <w:bookmarkEnd w:id="12"/>
            <w:bookmarkEnd w:id="13"/>
            <w:bookmarkEnd w:id="14"/>
          </w:p>
        </w:tc>
        <w:tc>
          <w:tcPr>
            <w:tcW w:w="1395" w:type="dxa"/>
          </w:tcPr>
          <w:p>
            <w:pPr>
              <w:pStyle w:val="35"/>
              <w:spacing w:line="240" w:lineRule="auto"/>
              <w:outlineLvl w:val="1"/>
              <w:rPr>
                <w:rFonts w:hint="eastAsia" w:ascii="华文细黑" w:hAnsi="华文细黑" w:eastAsia="华文细黑"/>
                <w:bCs/>
                <w:szCs w:val="21"/>
                <w:lang w:eastAsia="zh-CN"/>
              </w:rPr>
            </w:pPr>
            <w:bookmarkStart w:id="15" w:name="_Toc22547"/>
            <w:bookmarkStart w:id="16" w:name="_Toc10509"/>
            <w:bookmarkStart w:id="17" w:name="_Toc32690"/>
            <w:bookmarkStart w:id="18" w:name="_Toc31652"/>
            <w:bookmarkStart w:id="19" w:name="_Toc19943"/>
            <w:r>
              <w:rPr>
                <w:rFonts w:hint="eastAsia" w:ascii="华文细黑" w:hAnsi="华文细黑" w:eastAsia="华文细黑"/>
                <w:bCs/>
                <w:szCs w:val="21"/>
                <w:lang w:eastAsia="zh-CN"/>
              </w:rPr>
              <w:t>技术参数</w:t>
            </w:r>
            <w:bookmarkEnd w:id="15"/>
            <w:bookmarkEnd w:id="16"/>
            <w:bookmarkEnd w:id="17"/>
            <w:bookmarkEnd w:id="18"/>
            <w:bookmarkEnd w:id="19"/>
          </w:p>
        </w:tc>
        <w:tc>
          <w:tcPr>
            <w:tcW w:w="1215" w:type="dxa"/>
          </w:tcPr>
          <w:p>
            <w:pPr>
              <w:pStyle w:val="35"/>
              <w:spacing w:line="240" w:lineRule="auto"/>
              <w:outlineLvl w:val="1"/>
              <w:rPr>
                <w:rFonts w:ascii="华文细黑" w:hAnsi="华文细黑" w:eastAsia="华文细黑"/>
                <w:bCs/>
                <w:szCs w:val="21"/>
              </w:rPr>
            </w:pPr>
            <w:bookmarkStart w:id="20" w:name="_Toc3357"/>
            <w:bookmarkStart w:id="21" w:name="_Toc22917"/>
            <w:bookmarkStart w:id="22" w:name="_Toc499892169"/>
            <w:bookmarkStart w:id="23" w:name="_Toc4200"/>
            <w:bookmarkStart w:id="24" w:name="_Toc29900"/>
            <w:bookmarkStart w:id="25" w:name="_Toc5498"/>
            <w:bookmarkStart w:id="26" w:name="_Toc30639"/>
            <w:r>
              <w:rPr>
                <w:rFonts w:hint="eastAsia" w:ascii="华文细黑" w:hAnsi="华文细黑" w:eastAsia="华文细黑"/>
                <w:bCs/>
                <w:szCs w:val="21"/>
              </w:rPr>
              <w:t>数量</w:t>
            </w:r>
            <w:bookmarkEnd w:id="20"/>
            <w:bookmarkEnd w:id="21"/>
            <w:bookmarkEnd w:id="22"/>
            <w:bookmarkEnd w:id="23"/>
            <w:bookmarkEnd w:id="24"/>
            <w:bookmarkEnd w:id="25"/>
            <w:bookmarkEnd w:id="26"/>
          </w:p>
        </w:tc>
        <w:tc>
          <w:tcPr>
            <w:tcW w:w="1125" w:type="dxa"/>
          </w:tcPr>
          <w:p>
            <w:pPr>
              <w:pStyle w:val="35"/>
              <w:spacing w:line="240" w:lineRule="auto"/>
              <w:outlineLvl w:val="1"/>
              <w:rPr>
                <w:rFonts w:ascii="华文细黑" w:hAnsi="华文细黑" w:eastAsia="华文细黑"/>
                <w:bCs/>
                <w:szCs w:val="21"/>
              </w:rPr>
            </w:pPr>
            <w:bookmarkStart w:id="27" w:name="_Toc14697"/>
            <w:bookmarkStart w:id="28" w:name="_Toc19312"/>
            <w:bookmarkStart w:id="29" w:name="_Toc438"/>
            <w:bookmarkStart w:id="30" w:name="_Toc499892170"/>
            <w:bookmarkStart w:id="31" w:name="_Toc5050"/>
            <w:bookmarkStart w:id="32" w:name="_Toc3499"/>
            <w:bookmarkStart w:id="33" w:name="_Toc5121"/>
            <w:r>
              <w:rPr>
                <w:rFonts w:hint="eastAsia" w:ascii="华文细黑" w:hAnsi="华文细黑" w:eastAsia="华文细黑"/>
                <w:bCs/>
                <w:szCs w:val="21"/>
              </w:rPr>
              <w:t>单价</w:t>
            </w:r>
            <w:bookmarkEnd w:id="27"/>
            <w:bookmarkEnd w:id="28"/>
            <w:bookmarkEnd w:id="29"/>
            <w:bookmarkEnd w:id="30"/>
            <w:bookmarkEnd w:id="31"/>
            <w:bookmarkEnd w:id="32"/>
            <w:bookmarkEnd w:id="33"/>
          </w:p>
        </w:tc>
        <w:tc>
          <w:tcPr>
            <w:tcW w:w="1230" w:type="dxa"/>
          </w:tcPr>
          <w:p>
            <w:pPr>
              <w:pStyle w:val="35"/>
              <w:spacing w:line="240" w:lineRule="auto"/>
              <w:outlineLvl w:val="1"/>
              <w:rPr>
                <w:rFonts w:ascii="华文细黑" w:hAnsi="华文细黑" w:eastAsia="华文细黑"/>
                <w:bCs/>
                <w:szCs w:val="21"/>
              </w:rPr>
            </w:pPr>
            <w:bookmarkStart w:id="34" w:name="_Toc4460"/>
            <w:bookmarkStart w:id="35" w:name="_Toc7061"/>
            <w:bookmarkStart w:id="36" w:name="_Toc2406"/>
            <w:bookmarkStart w:id="37" w:name="_Toc17013"/>
            <w:bookmarkStart w:id="38" w:name="_Toc499892171"/>
            <w:bookmarkStart w:id="39" w:name="_Toc20867"/>
            <w:bookmarkStart w:id="40" w:name="_Toc18635"/>
            <w:r>
              <w:rPr>
                <w:rFonts w:hint="eastAsia" w:ascii="华文细黑" w:hAnsi="华文细黑" w:eastAsia="华文细黑"/>
                <w:bCs/>
                <w:szCs w:val="21"/>
              </w:rPr>
              <w:t>金额</w:t>
            </w:r>
            <w:bookmarkEnd w:id="34"/>
            <w:bookmarkEnd w:id="35"/>
            <w:bookmarkEnd w:id="36"/>
            <w:bookmarkEnd w:id="37"/>
            <w:bookmarkEnd w:id="38"/>
            <w:bookmarkEnd w:id="39"/>
            <w:bookmarkEnd w:id="40"/>
          </w:p>
        </w:tc>
        <w:tc>
          <w:tcPr>
            <w:tcW w:w="855" w:type="dxa"/>
          </w:tcPr>
          <w:p>
            <w:pPr>
              <w:pStyle w:val="35"/>
              <w:spacing w:line="240" w:lineRule="auto"/>
              <w:outlineLvl w:val="1"/>
              <w:rPr>
                <w:rFonts w:ascii="华文细黑" w:hAnsi="华文细黑" w:eastAsia="华文细黑"/>
                <w:bCs/>
                <w:szCs w:val="21"/>
              </w:rPr>
            </w:pPr>
            <w:bookmarkStart w:id="41" w:name="_Toc17197"/>
            <w:bookmarkStart w:id="42" w:name="_Toc16319"/>
            <w:bookmarkStart w:id="43" w:name="_Toc157"/>
            <w:bookmarkStart w:id="44" w:name="_Toc499892172"/>
            <w:bookmarkStart w:id="45" w:name="_Toc13731"/>
            <w:bookmarkStart w:id="46" w:name="_Toc23451"/>
            <w:bookmarkStart w:id="47" w:name="_Toc20183"/>
            <w:r>
              <w:rPr>
                <w:rFonts w:hint="eastAsia" w:ascii="华文细黑" w:hAnsi="华文细黑" w:eastAsia="华文细黑"/>
                <w:bCs/>
                <w:szCs w:val="21"/>
              </w:rPr>
              <w:t>税率</w:t>
            </w:r>
            <w:bookmarkEnd w:id="41"/>
            <w:bookmarkEnd w:id="42"/>
            <w:bookmarkEnd w:id="43"/>
            <w:bookmarkEnd w:id="44"/>
            <w:bookmarkEnd w:id="45"/>
            <w:bookmarkEnd w:id="46"/>
            <w:bookmarkEnd w:id="47"/>
          </w:p>
        </w:tc>
        <w:tc>
          <w:tcPr>
            <w:tcW w:w="1276" w:type="dxa"/>
          </w:tcPr>
          <w:p>
            <w:pPr>
              <w:pStyle w:val="35"/>
              <w:spacing w:line="240" w:lineRule="auto"/>
              <w:outlineLvl w:val="1"/>
              <w:rPr>
                <w:rFonts w:ascii="华文细黑" w:hAnsi="华文细黑" w:eastAsia="华文细黑"/>
                <w:bCs/>
                <w:szCs w:val="21"/>
              </w:rPr>
            </w:pPr>
            <w:bookmarkStart w:id="48" w:name="_Toc15998"/>
            <w:bookmarkStart w:id="49" w:name="_Toc23732"/>
            <w:bookmarkStart w:id="50" w:name="_Toc18891"/>
            <w:bookmarkStart w:id="51" w:name="_Toc18916"/>
            <w:bookmarkStart w:id="52" w:name="_Toc14775"/>
            <w:bookmarkStart w:id="53" w:name="_Toc25682"/>
            <w:bookmarkStart w:id="54" w:name="_Toc499892173"/>
            <w:r>
              <w:rPr>
                <w:rFonts w:hint="eastAsia" w:ascii="华文细黑" w:hAnsi="华文细黑" w:eastAsia="华文细黑"/>
                <w:bCs/>
                <w:szCs w:val="21"/>
              </w:rPr>
              <w:t>备注</w:t>
            </w:r>
            <w:bookmarkEnd w:id="48"/>
            <w:bookmarkEnd w:id="49"/>
            <w:bookmarkEnd w:id="50"/>
            <w:bookmarkEnd w:id="51"/>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6" w:type="dxa"/>
          </w:tcPr>
          <w:p>
            <w:pPr>
              <w:pStyle w:val="35"/>
              <w:spacing w:line="240" w:lineRule="auto"/>
              <w:outlineLvl w:val="1"/>
              <w:rPr>
                <w:rFonts w:ascii="华文细黑" w:hAnsi="华文细黑" w:eastAsia="华文细黑"/>
                <w:bCs/>
                <w:szCs w:val="21"/>
              </w:rPr>
            </w:pPr>
          </w:p>
        </w:tc>
        <w:tc>
          <w:tcPr>
            <w:tcW w:w="1395" w:type="dxa"/>
          </w:tcPr>
          <w:p>
            <w:pPr>
              <w:pStyle w:val="35"/>
              <w:spacing w:line="240" w:lineRule="auto"/>
              <w:outlineLvl w:val="1"/>
              <w:rPr>
                <w:rFonts w:ascii="华文细黑" w:hAnsi="华文细黑" w:eastAsia="华文细黑"/>
                <w:bCs/>
                <w:szCs w:val="21"/>
              </w:rPr>
            </w:pPr>
          </w:p>
        </w:tc>
        <w:tc>
          <w:tcPr>
            <w:tcW w:w="1215" w:type="dxa"/>
          </w:tcPr>
          <w:p>
            <w:pPr>
              <w:pStyle w:val="35"/>
              <w:spacing w:line="240" w:lineRule="auto"/>
              <w:outlineLvl w:val="1"/>
              <w:rPr>
                <w:rFonts w:ascii="华文细黑" w:hAnsi="华文细黑" w:eastAsia="华文细黑"/>
                <w:bCs/>
                <w:szCs w:val="21"/>
              </w:rPr>
            </w:pPr>
          </w:p>
        </w:tc>
        <w:tc>
          <w:tcPr>
            <w:tcW w:w="1125" w:type="dxa"/>
          </w:tcPr>
          <w:p>
            <w:pPr>
              <w:pStyle w:val="35"/>
              <w:spacing w:line="240" w:lineRule="auto"/>
              <w:outlineLvl w:val="1"/>
              <w:rPr>
                <w:rFonts w:ascii="华文细黑" w:hAnsi="华文细黑" w:eastAsia="华文细黑"/>
                <w:bCs/>
                <w:szCs w:val="21"/>
              </w:rPr>
            </w:pPr>
          </w:p>
        </w:tc>
        <w:tc>
          <w:tcPr>
            <w:tcW w:w="1230" w:type="dxa"/>
          </w:tcPr>
          <w:p>
            <w:pPr>
              <w:pStyle w:val="35"/>
              <w:spacing w:line="240" w:lineRule="auto"/>
              <w:outlineLvl w:val="1"/>
              <w:rPr>
                <w:rFonts w:ascii="华文细黑" w:hAnsi="华文细黑" w:eastAsia="华文细黑"/>
                <w:bCs/>
                <w:szCs w:val="21"/>
              </w:rPr>
            </w:pPr>
          </w:p>
        </w:tc>
        <w:tc>
          <w:tcPr>
            <w:tcW w:w="855" w:type="dxa"/>
          </w:tcPr>
          <w:p>
            <w:pPr>
              <w:pStyle w:val="35"/>
              <w:spacing w:line="240" w:lineRule="auto"/>
              <w:outlineLvl w:val="1"/>
              <w:rPr>
                <w:rFonts w:ascii="华文细黑" w:hAnsi="华文细黑" w:eastAsia="华文细黑"/>
                <w:bCs/>
                <w:szCs w:val="21"/>
              </w:rPr>
            </w:pPr>
          </w:p>
        </w:tc>
        <w:tc>
          <w:tcPr>
            <w:tcW w:w="1276" w:type="dxa"/>
          </w:tcPr>
          <w:p>
            <w:pPr>
              <w:pStyle w:val="35"/>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6" w:type="dxa"/>
          </w:tcPr>
          <w:p>
            <w:pPr>
              <w:pStyle w:val="35"/>
              <w:spacing w:line="240" w:lineRule="auto"/>
              <w:outlineLvl w:val="1"/>
              <w:rPr>
                <w:rFonts w:ascii="华文细黑" w:hAnsi="华文细黑" w:eastAsia="华文细黑"/>
                <w:bCs/>
                <w:szCs w:val="21"/>
              </w:rPr>
            </w:pPr>
          </w:p>
        </w:tc>
        <w:tc>
          <w:tcPr>
            <w:tcW w:w="1395" w:type="dxa"/>
          </w:tcPr>
          <w:p>
            <w:pPr>
              <w:pStyle w:val="35"/>
              <w:spacing w:line="240" w:lineRule="auto"/>
              <w:outlineLvl w:val="1"/>
              <w:rPr>
                <w:rFonts w:ascii="华文细黑" w:hAnsi="华文细黑" w:eastAsia="华文细黑"/>
                <w:bCs/>
                <w:szCs w:val="21"/>
              </w:rPr>
            </w:pPr>
          </w:p>
        </w:tc>
        <w:tc>
          <w:tcPr>
            <w:tcW w:w="1215" w:type="dxa"/>
          </w:tcPr>
          <w:p>
            <w:pPr>
              <w:pStyle w:val="35"/>
              <w:spacing w:line="240" w:lineRule="auto"/>
              <w:outlineLvl w:val="1"/>
              <w:rPr>
                <w:rFonts w:ascii="华文细黑" w:hAnsi="华文细黑" w:eastAsia="华文细黑"/>
                <w:bCs/>
                <w:szCs w:val="21"/>
              </w:rPr>
            </w:pPr>
          </w:p>
        </w:tc>
        <w:tc>
          <w:tcPr>
            <w:tcW w:w="1125" w:type="dxa"/>
          </w:tcPr>
          <w:p>
            <w:pPr>
              <w:pStyle w:val="35"/>
              <w:spacing w:line="240" w:lineRule="auto"/>
              <w:outlineLvl w:val="1"/>
              <w:rPr>
                <w:rFonts w:ascii="华文细黑" w:hAnsi="华文细黑" w:eastAsia="华文细黑"/>
                <w:bCs/>
                <w:szCs w:val="21"/>
              </w:rPr>
            </w:pPr>
          </w:p>
        </w:tc>
        <w:tc>
          <w:tcPr>
            <w:tcW w:w="1230" w:type="dxa"/>
          </w:tcPr>
          <w:p>
            <w:pPr>
              <w:pStyle w:val="35"/>
              <w:spacing w:line="240" w:lineRule="auto"/>
              <w:outlineLvl w:val="1"/>
              <w:rPr>
                <w:rFonts w:ascii="华文细黑" w:hAnsi="华文细黑" w:eastAsia="华文细黑"/>
                <w:bCs/>
                <w:szCs w:val="21"/>
              </w:rPr>
            </w:pPr>
          </w:p>
        </w:tc>
        <w:tc>
          <w:tcPr>
            <w:tcW w:w="855" w:type="dxa"/>
          </w:tcPr>
          <w:p>
            <w:pPr>
              <w:pStyle w:val="35"/>
              <w:spacing w:line="240" w:lineRule="auto"/>
              <w:outlineLvl w:val="1"/>
              <w:rPr>
                <w:rFonts w:ascii="华文细黑" w:hAnsi="华文细黑" w:eastAsia="华文细黑"/>
                <w:bCs/>
                <w:szCs w:val="21"/>
              </w:rPr>
            </w:pPr>
          </w:p>
        </w:tc>
        <w:tc>
          <w:tcPr>
            <w:tcW w:w="1276" w:type="dxa"/>
          </w:tcPr>
          <w:p>
            <w:pPr>
              <w:pStyle w:val="35"/>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6" w:type="dxa"/>
          </w:tcPr>
          <w:p>
            <w:pPr>
              <w:pStyle w:val="35"/>
              <w:spacing w:line="240" w:lineRule="auto"/>
              <w:outlineLvl w:val="1"/>
              <w:rPr>
                <w:rFonts w:ascii="华文细黑" w:hAnsi="华文细黑" w:eastAsia="华文细黑"/>
                <w:bCs/>
                <w:szCs w:val="21"/>
              </w:rPr>
            </w:pPr>
          </w:p>
        </w:tc>
        <w:tc>
          <w:tcPr>
            <w:tcW w:w="1395" w:type="dxa"/>
          </w:tcPr>
          <w:p>
            <w:pPr>
              <w:pStyle w:val="35"/>
              <w:spacing w:line="240" w:lineRule="auto"/>
              <w:outlineLvl w:val="1"/>
              <w:rPr>
                <w:rFonts w:ascii="华文细黑" w:hAnsi="华文细黑" w:eastAsia="华文细黑"/>
                <w:bCs/>
                <w:szCs w:val="21"/>
              </w:rPr>
            </w:pPr>
          </w:p>
        </w:tc>
        <w:tc>
          <w:tcPr>
            <w:tcW w:w="1215" w:type="dxa"/>
          </w:tcPr>
          <w:p>
            <w:pPr>
              <w:pStyle w:val="35"/>
              <w:spacing w:line="240" w:lineRule="auto"/>
              <w:outlineLvl w:val="1"/>
              <w:rPr>
                <w:rFonts w:ascii="华文细黑" w:hAnsi="华文细黑" w:eastAsia="华文细黑"/>
                <w:bCs/>
                <w:szCs w:val="21"/>
              </w:rPr>
            </w:pPr>
          </w:p>
        </w:tc>
        <w:tc>
          <w:tcPr>
            <w:tcW w:w="1125" w:type="dxa"/>
          </w:tcPr>
          <w:p>
            <w:pPr>
              <w:pStyle w:val="35"/>
              <w:spacing w:line="240" w:lineRule="auto"/>
              <w:outlineLvl w:val="1"/>
              <w:rPr>
                <w:rFonts w:ascii="华文细黑" w:hAnsi="华文细黑" w:eastAsia="华文细黑"/>
                <w:bCs/>
                <w:szCs w:val="21"/>
              </w:rPr>
            </w:pPr>
          </w:p>
        </w:tc>
        <w:tc>
          <w:tcPr>
            <w:tcW w:w="1230" w:type="dxa"/>
          </w:tcPr>
          <w:p>
            <w:pPr>
              <w:pStyle w:val="35"/>
              <w:spacing w:line="240" w:lineRule="auto"/>
              <w:outlineLvl w:val="1"/>
              <w:rPr>
                <w:rFonts w:ascii="华文细黑" w:hAnsi="华文细黑" w:eastAsia="华文细黑"/>
                <w:bCs/>
                <w:szCs w:val="21"/>
              </w:rPr>
            </w:pPr>
          </w:p>
        </w:tc>
        <w:tc>
          <w:tcPr>
            <w:tcW w:w="855" w:type="dxa"/>
          </w:tcPr>
          <w:p>
            <w:pPr>
              <w:pStyle w:val="35"/>
              <w:spacing w:line="240" w:lineRule="auto"/>
              <w:outlineLvl w:val="1"/>
              <w:rPr>
                <w:rFonts w:ascii="华文细黑" w:hAnsi="华文细黑" w:eastAsia="华文细黑"/>
                <w:bCs/>
                <w:szCs w:val="21"/>
              </w:rPr>
            </w:pPr>
          </w:p>
        </w:tc>
        <w:tc>
          <w:tcPr>
            <w:tcW w:w="1276" w:type="dxa"/>
          </w:tcPr>
          <w:p>
            <w:pPr>
              <w:pStyle w:val="35"/>
              <w:spacing w:line="240" w:lineRule="auto"/>
              <w:outlineLvl w:val="1"/>
              <w:rPr>
                <w:rFonts w:ascii="华文细黑" w:hAnsi="华文细黑" w:eastAsia="华文细黑"/>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6" w:type="dxa"/>
          </w:tcPr>
          <w:p>
            <w:pPr>
              <w:pStyle w:val="35"/>
              <w:spacing w:line="240" w:lineRule="auto"/>
              <w:outlineLvl w:val="1"/>
              <w:rPr>
                <w:rFonts w:ascii="华文细黑" w:hAnsi="华文细黑" w:eastAsia="华文细黑"/>
                <w:bCs/>
                <w:szCs w:val="21"/>
              </w:rPr>
            </w:pPr>
            <w:bookmarkStart w:id="55" w:name="_Toc1976"/>
            <w:bookmarkStart w:id="56" w:name="_Toc5108"/>
            <w:bookmarkStart w:id="57" w:name="_Toc27909"/>
            <w:bookmarkStart w:id="58" w:name="_Toc499892174"/>
            <w:bookmarkStart w:id="59" w:name="_Toc31554"/>
            <w:bookmarkStart w:id="60" w:name="_Toc7630"/>
            <w:bookmarkStart w:id="61" w:name="_Toc18598"/>
            <w:r>
              <w:rPr>
                <w:rFonts w:hint="eastAsia" w:ascii="华文细黑" w:hAnsi="华文细黑" w:eastAsia="华文细黑"/>
                <w:bCs/>
                <w:szCs w:val="21"/>
              </w:rPr>
              <w:t>合计</w:t>
            </w:r>
            <w:bookmarkEnd w:id="55"/>
            <w:bookmarkEnd w:id="56"/>
            <w:bookmarkEnd w:id="57"/>
            <w:bookmarkEnd w:id="58"/>
            <w:bookmarkEnd w:id="59"/>
            <w:bookmarkEnd w:id="60"/>
            <w:bookmarkEnd w:id="61"/>
          </w:p>
        </w:tc>
        <w:tc>
          <w:tcPr>
            <w:tcW w:w="7096" w:type="dxa"/>
            <w:gridSpan w:val="6"/>
          </w:tcPr>
          <w:p>
            <w:pPr>
              <w:pStyle w:val="35"/>
              <w:spacing w:line="240" w:lineRule="auto"/>
              <w:outlineLvl w:val="1"/>
              <w:rPr>
                <w:rFonts w:ascii="华文细黑" w:hAnsi="华文细黑" w:eastAsia="华文细黑"/>
                <w:bCs/>
                <w:szCs w:val="21"/>
              </w:rPr>
            </w:pPr>
          </w:p>
        </w:tc>
      </w:tr>
    </w:tbl>
    <w:p>
      <w:pPr>
        <w:pStyle w:val="35"/>
        <w:spacing w:line="240" w:lineRule="auto"/>
        <w:rPr>
          <w:rFonts w:hint="eastAsia" w:ascii="华文细黑" w:hAnsi="华文细黑" w:eastAsia="华文细黑"/>
          <w:b/>
          <w:color w:val="000000"/>
          <w:sz w:val="21"/>
          <w:szCs w:val="21"/>
        </w:rPr>
      </w:pPr>
      <w:r>
        <w:rPr>
          <w:rFonts w:hint="eastAsia" w:ascii="华文细黑" w:hAnsi="华文细黑" w:eastAsia="华文细黑"/>
          <w:b/>
          <w:color w:val="000000"/>
          <w:sz w:val="21"/>
          <w:szCs w:val="21"/>
          <w:lang w:eastAsia="zh-CN"/>
        </w:rPr>
        <w:t>注：单价中含装卸费、包装费、人工服务、运费、税费等所有费用；</w:t>
      </w:r>
    </w:p>
    <w:p>
      <w:pPr>
        <w:pStyle w:val="35"/>
        <w:spacing w:line="240" w:lineRule="auto"/>
        <w:rPr>
          <w:rFonts w:ascii="华文细黑" w:hAnsi="华文细黑" w:eastAsia="华文细黑"/>
          <w:color w:val="000000"/>
          <w:sz w:val="21"/>
          <w:szCs w:val="21"/>
          <w:u w:val="single"/>
        </w:rPr>
      </w:pPr>
      <w:r>
        <w:rPr>
          <w:rFonts w:hint="eastAsia" w:ascii="华文细黑" w:hAnsi="华文细黑" w:eastAsia="华文细黑"/>
          <w:b/>
          <w:color w:val="000000"/>
          <w:sz w:val="21"/>
          <w:szCs w:val="21"/>
        </w:rPr>
        <w:t>第二条</w:t>
      </w:r>
      <w:r>
        <w:rPr>
          <w:rFonts w:hint="eastAsia" w:ascii="华文细黑" w:hAnsi="华文细黑" w:eastAsia="华文细黑"/>
          <w:color w:val="000000"/>
          <w:sz w:val="21"/>
          <w:szCs w:val="21"/>
        </w:rPr>
        <w:t xml:space="preserve"> 合同履行地及交货方式：合同履行地在甲方，由乙方将货物交付至甲方指定地点：</w:t>
      </w:r>
      <w:r>
        <w:rPr>
          <w:rFonts w:hint="eastAsia" w:ascii="华文细黑" w:hAnsi="华文细黑" w:eastAsia="华文细黑"/>
          <w:color w:val="000000"/>
          <w:sz w:val="21"/>
          <w:szCs w:val="21"/>
          <w:u w:val="single"/>
        </w:rPr>
        <w:t xml:space="preserve">                   ；</w:t>
      </w:r>
    </w:p>
    <w:p>
      <w:pPr>
        <w:pStyle w:val="35"/>
        <w:spacing w:line="240" w:lineRule="auto"/>
        <w:rPr>
          <w:rFonts w:ascii="华文细黑" w:hAnsi="华文细黑" w:eastAsia="华文细黑"/>
          <w:color w:val="000000"/>
          <w:sz w:val="21"/>
          <w:szCs w:val="21"/>
        </w:rPr>
      </w:pPr>
      <w:r>
        <w:rPr>
          <w:rFonts w:hint="eastAsia" w:ascii="华文细黑" w:hAnsi="华文细黑" w:eastAsia="华文细黑"/>
          <w:b/>
          <w:color w:val="000000"/>
          <w:sz w:val="21"/>
          <w:szCs w:val="21"/>
        </w:rPr>
        <w:t>第三条</w:t>
      </w:r>
      <w:r>
        <w:rPr>
          <w:rFonts w:hint="eastAsia" w:ascii="华文细黑" w:hAnsi="华文细黑" w:eastAsia="华文细黑"/>
          <w:color w:val="000000"/>
          <w:sz w:val="21"/>
          <w:szCs w:val="21"/>
        </w:rPr>
        <w:t xml:space="preserve"> 运费承担按照以下第</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lang w:val="en-US" w:eastAsia="zh-CN"/>
        </w:rPr>
        <w:t>2</w:t>
      </w:r>
      <w:r>
        <w:rPr>
          <w:rFonts w:hint="eastAsia" w:ascii="华文细黑" w:hAnsi="华文细黑" w:eastAsia="华文细黑"/>
          <w:color w:val="000000"/>
          <w:sz w:val="21"/>
          <w:szCs w:val="21"/>
          <w:lang w:eastAsia="zh-CN"/>
        </w:rPr>
        <w:t>）</w:t>
      </w:r>
      <w:r>
        <w:rPr>
          <w:rFonts w:hint="eastAsia" w:ascii="华文细黑" w:hAnsi="华文细黑" w:eastAsia="华文细黑"/>
          <w:color w:val="000000"/>
          <w:sz w:val="21"/>
          <w:szCs w:val="21"/>
        </w:rPr>
        <w:t>种方式执行。</w:t>
      </w:r>
    </w:p>
    <w:p>
      <w:pPr>
        <w:pStyle w:val="35"/>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（1）甲方承担；</w:t>
      </w:r>
    </w:p>
    <w:p>
      <w:pPr>
        <w:pStyle w:val="35"/>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ab/>
      </w:r>
      <w:r>
        <w:rPr>
          <w:rFonts w:hint="eastAsia" w:ascii="华文细黑" w:hAnsi="华文细黑" w:eastAsia="华文细黑"/>
          <w:color w:val="000000"/>
          <w:sz w:val="21"/>
          <w:szCs w:val="21"/>
        </w:rPr>
        <w:t>（2）乙方承担。</w:t>
      </w:r>
    </w:p>
    <w:p>
      <w:pPr>
        <w:pStyle w:val="35"/>
        <w:spacing w:line="240" w:lineRule="auto"/>
        <w:rPr>
          <w:rFonts w:hint="eastAsia" w:ascii="华文细黑" w:hAnsi="华文细黑" w:eastAsia="华文细黑"/>
          <w:color w:val="000000"/>
          <w:sz w:val="21"/>
          <w:szCs w:val="21"/>
          <w:u w:val="single"/>
        </w:rPr>
      </w:pPr>
      <w:r>
        <w:rPr>
          <w:rFonts w:hint="eastAsia" w:ascii="华文细黑" w:hAnsi="华文细黑" w:eastAsia="华文细黑"/>
          <w:b/>
          <w:color w:val="000000"/>
          <w:sz w:val="21"/>
          <w:szCs w:val="21"/>
        </w:rPr>
        <w:t>第四条</w:t>
      </w:r>
      <w:r>
        <w:rPr>
          <w:rFonts w:hint="eastAsia" w:ascii="华文细黑" w:hAnsi="华文细黑" w:eastAsia="华文细黑"/>
          <w:color w:val="000000"/>
          <w:sz w:val="21"/>
          <w:szCs w:val="21"/>
        </w:rPr>
        <w:t xml:space="preserve"> 质量标准：依甲方认可的质量标准进行验收，其具体</w:t>
      </w:r>
      <w:r>
        <w:rPr>
          <w:rFonts w:hint="eastAsia" w:ascii="华文细黑" w:hAnsi="华文细黑" w:eastAsia="华文细黑"/>
          <w:color w:val="000000"/>
          <w:sz w:val="21"/>
          <w:szCs w:val="21"/>
          <w:u w:val="single"/>
        </w:rPr>
        <w:t>：</w:t>
      </w:r>
      <w:r>
        <w:rPr>
          <w:rFonts w:hint="eastAsia" w:ascii="华文细黑" w:hAnsi="华文细黑" w:eastAsia="华文细黑"/>
          <w:color w:val="000000"/>
          <w:sz w:val="21"/>
          <w:szCs w:val="21"/>
          <w:u w:val="single"/>
          <w:lang w:val="en-US" w:eastAsia="zh-CN"/>
        </w:rPr>
        <w:t xml:space="preserve">            ；</w:t>
      </w:r>
    </w:p>
    <w:p>
      <w:pPr>
        <w:pStyle w:val="35"/>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乙方保证其所提供的产品为相应品牌下的正宗产品，不属假冒伪劣或不合格商品。乙方对所提供的产品质量负责，承担因质量问题所造成的一切损失，包括但不限于对甲方或第三方造成的财产及人身损害。</w:t>
      </w:r>
    </w:p>
    <w:p>
      <w:pPr>
        <w:pStyle w:val="35"/>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乙方对所供产品的质量保证期</w:t>
      </w:r>
      <w:r>
        <w:rPr>
          <w:rFonts w:hint="eastAsia" w:ascii="华文细黑" w:hAnsi="华文细黑" w:eastAsia="华文细黑"/>
          <w:color w:val="000000"/>
          <w:sz w:val="21"/>
          <w:szCs w:val="21"/>
          <w:lang w:eastAsia="zh-CN"/>
        </w:rPr>
        <w:t>内</w:t>
      </w:r>
      <w:r>
        <w:rPr>
          <w:rFonts w:hint="eastAsia" w:ascii="华文细黑" w:hAnsi="华文细黑" w:eastAsia="华文细黑"/>
          <w:color w:val="000000"/>
          <w:sz w:val="21"/>
          <w:szCs w:val="21"/>
        </w:rPr>
        <w:t>实行三包服务（包换、包退、包修）。</w:t>
      </w:r>
    </w:p>
    <w:p>
      <w:pPr>
        <w:pStyle w:val="35"/>
        <w:spacing w:line="240" w:lineRule="auto"/>
        <w:rPr>
          <w:rFonts w:ascii="华文细黑" w:hAnsi="华文细黑" w:eastAsia="华文细黑"/>
          <w:color w:val="000000"/>
          <w:sz w:val="21"/>
          <w:szCs w:val="21"/>
        </w:rPr>
      </w:pPr>
      <w:r>
        <w:rPr>
          <w:rFonts w:hint="eastAsia" w:ascii="华文细黑" w:hAnsi="华文细黑" w:eastAsia="华文细黑"/>
          <w:color w:val="000000"/>
          <w:sz w:val="21"/>
          <w:szCs w:val="21"/>
        </w:rPr>
        <w:t>第五条 乙方应当提供主管部门出具的证明文件(或者批准证书)，因文件不全而导致物的所有权不能及时转移给甲方的，乙方应承担违约责任。</w:t>
      </w:r>
    </w:p>
    <w:p>
      <w:pPr>
        <w:pStyle w:val="35"/>
        <w:spacing w:line="240" w:lineRule="auto"/>
        <w:rPr>
          <w:rFonts w:ascii="华文细黑" w:hAnsi="华文细黑" w:eastAsia="华文细黑"/>
          <w:bCs/>
          <w:szCs w:val="21"/>
          <w:u w:val="single"/>
        </w:rPr>
      </w:pPr>
      <w:r>
        <w:rPr>
          <w:rFonts w:hint="eastAsia" w:ascii="华文细黑" w:hAnsi="华文细黑" w:eastAsia="华文细黑"/>
          <w:b/>
          <w:color w:val="000000"/>
          <w:sz w:val="21"/>
          <w:szCs w:val="21"/>
        </w:rPr>
        <w:t>第六条</w:t>
      </w:r>
      <w:r>
        <w:rPr>
          <w:rFonts w:hint="eastAsia" w:ascii="华文细黑" w:hAnsi="华文细黑" w:eastAsia="华文细黑"/>
          <w:color w:val="000000"/>
          <w:sz w:val="21"/>
          <w:szCs w:val="21"/>
        </w:rPr>
        <w:t xml:space="preserve"> 交货时间：</w:t>
      </w:r>
      <w:r>
        <w:rPr>
          <w:rFonts w:hint="eastAsia" w:ascii="华文细黑" w:hAnsi="华文细黑" w:eastAsia="华文细黑"/>
          <w:color w:val="000000"/>
          <w:sz w:val="21"/>
          <w:szCs w:val="21"/>
          <w:u w:val="single"/>
        </w:rPr>
        <w:t xml:space="preserve"> </w:t>
      </w:r>
      <w:r>
        <w:rPr>
          <w:rFonts w:hint="eastAsia" w:ascii="华文细黑" w:hAnsi="华文细黑" w:eastAsia="华文细黑"/>
          <w:u w:val="single"/>
          <w:lang w:val="en-US" w:eastAsia="zh-CN"/>
        </w:rPr>
        <w:t>合同签订后根据甲方指定时间送货</w:t>
      </w:r>
      <w:r>
        <w:rPr>
          <w:rFonts w:hint="eastAsia" w:ascii="华文细黑" w:hAnsi="华文细黑" w:eastAsia="华文细黑"/>
          <w:color w:val="000000"/>
          <w:sz w:val="21"/>
          <w:szCs w:val="21"/>
          <w:u w:val="single"/>
        </w:rPr>
        <w:t>；</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第七条</w:t>
      </w:r>
      <w:r>
        <w:rPr>
          <w:rFonts w:hint="eastAsia" w:ascii="华文细黑" w:hAnsi="华文细黑" w:eastAsia="华文细黑"/>
          <w:bCs/>
          <w:szCs w:val="21"/>
        </w:rPr>
        <w:t xml:space="preserve"> 价款支付时间、方式</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7．1付款时间与付款方式，除双方另有书面协议外，应于甲方验收乙方货品合格及出具验收文件后，且经甲方收到乙方发票之日起计算。</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.2</w:t>
      </w:r>
      <w:r>
        <w:rPr>
          <w:rFonts w:ascii="华文细黑" w:hAnsi="华文细黑" w:eastAsia="华文细黑"/>
          <w:bCs/>
          <w:szCs w:val="21"/>
        </w:rPr>
        <w:tab/>
      </w:r>
      <w:r>
        <w:rPr>
          <w:rFonts w:hint="eastAsia" w:ascii="华文细黑" w:hAnsi="华文细黑" w:eastAsia="华文细黑"/>
          <w:bCs/>
          <w:szCs w:val="21"/>
        </w:rPr>
        <w:t>如乙方供货存在不合格品或有短缺，且甲方决定不再接受乙方更换的合格品或补足短缺之货品时，则甲方有权自该笔货款付款中减除相应的不合格品或短少货物的款项及因退货而生之运费与相关费用。</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7</w:t>
      </w:r>
      <w:r>
        <w:rPr>
          <w:rFonts w:ascii="华文细黑" w:hAnsi="华文细黑" w:eastAsia="华文细黑"/>
          <w:bCs/>
          <w:szCs w:val="21"/>
        </w:rPr>
        <w:t xml:space="preserve">.3 </w:t>
      </w:r>
      <w:r>
        <w:rPr>
          <w:rFonts w:hint="eastAsia" w:ascii="华文细黑" w:hAnsi="华文细黑" w:eastAsia="华文细黑"/>
          <w:bCs/>
          <w:szCs w:val="21"/>
        </w:rPr>
        <w:t>乙方违反本合同任一约定时，甲方有权在应付货款中扣除乙方因违约而应承担的所有费用与违约金及赔偿金额。</w:t>
      </w:r>
    </w:p>
    <w:p>
      <w:pPr>
        <w:pStyle w:val="35"/>
        <w:spacing w:line="240" w:lineRule="auto"/>
        <w:rPr>
          <w:rFonts w:ascii="华文细黑" w:hAnsi="华文细黑" w:eastAsia="华文细黑"/>
          <w:bCs/>
          <w:szCs w:val="21"/>
          <w:u w:val="single"/>
        </w:rPr>
      </w:pPr>
      <w:r>
        <w:rPr>
          <w:rFonts w:hint="eastAsia" w:ascii="华文细黑" w:hAnsi="华文细黑" w:eastAsia="华文细黑"/>
          <w:bCs/>
          <w:szCs w:val="21"/>
        </w:rPr>
        <w:t>7.4付款时间和付款方式：</w:t>
      </w:r>
      <w:r>
        <w:rPr>
          <w:rFonts w:hint="eastAsia" w:ascii="华文细黑" w:hAnsi="华文细黑" w:eastAsia="华文细黑"/>
          <w:bCs/>
          <w:szCs w:val="21"/>
          <w:u w:val="single"/>
        </w:rPr>
        <w:t>合同生效后，乙方所提供的标的物全部交付完毕后支付总金额的30%；整体验收合格后</w:t>
      </w:r>
      <w:r>
        <w:rPr>
          <w:rFonts w:hint="eastAsia" w:ascii="华文细黑" w:hAnsi="华文细黑" w:eastAsia="华文细黑"/>
          <w:bCs/>
          <w:szCs w:val="21"/>
          <w:u w:val="single"/>
          <w:lang w:val="en-US" w:eastAsia="zh-CN"/>
        </w:rPr>
        <w:t>30个工作日</w:t>
      </w:r>
      <w:r>
        <w:rPr>
          <w:rFonts w:hint="eastAsia" w:ascii="华文细黑" w:hAnsi="华文细黑" w:eastAsia="华文细黑"/>
          <w:bCs/>
          <w:szCs w:val="21"/>
          <w:u w:val="single"/>
        </w:rPr>
        <w:t>，甲方再次支付到合同金额的</w:t>
      </w:r>
      <w:r>
        <w:rPr>
          <w:rFonts w:hint="eastAsia" w:ascii="华文细黑" w:hAnsi="华文细黑" w:eastAsia="华文细黑"/>
          <w:bCs/>
          <w:szCs w:val="21"/>
          <w:u w:val="single"/>
          <w:lang w:val="en-US" w:eastAsia="zh-CN"/>
        </w:rPr>
        <w:t>100</w:t>
      </w:r>
      <w:r>
        <w:rPr>
          <w:rFonts w:hint="eastAsia" w:ascii="华文细黑" w:hAnsi="华文细黑" w:eastAsia="华文细黑"/>
          <w:bCs/>
          <w:szCs w:val="21"/>
          <w:u w:val="single"/>
        </w:rPr>
        <w:t>%</w:t>
      </w:r>
      <w:r>
        <w:rPr>
          <w:rFonts w:hint="eastAsia" w:ascii="华文细黑" w:hAnsi="华文细黑" w:eastAsia="华文细黑"/>
          <w:bCs/>
          <w:szCs w:val="21"/>
          <w:u w:val="single"/>
          <w:lang w:eastAsia="zh-CN"/>
        </w:rPr>
        <w:t>；</w:t>
      </w:r>
    </w:p>
    <w:p>
      <w:pPr>
        <w:pStyle w:val="35"/>
        <w:numPr>
          <w:ilvl w:val="0"/>
          <w:numId w:val="7"/>
        </w:numPr>
        <w:spacing w:line="240" w:lineRule="auto"/>
        <w:rPr>
          <w:rFonts w:hint="eastAsia" w:ascii="华文细黑" w:hAnsi="华文细黑" w:eastAsia="华文细黑"/>
          <w:bCs/>
          <w:szCs w:val="21"/>
          <w:lang w:eastAsia="zh-CN"/>
        </w:rPr>
      </w:pPr>
      <w:r>
        <w:rPr>
          <w:rFonts w:hint="eastAsia" w:ascii="华文细黑" w:hAnsi="华文细黑" w:eastAsia="华文细黑"/>
          <w:bCs/>
          <w:szCs w:val="21"/>
          <w:lang w:eastAsia="zh-CN"/>
        </w:rPr>
        <w:t>售后服务：</w:t>
      </w:r>
    </w:p>
    <w:p>
      <w:pPr>
        <w:pStyle w:val="35"/>
        <w:spacing w:line="240" w:lineRule="auto"/>
        <w:rPr>
          <w:rFonts w:hint="eastAsia" w:ascii="华文细黑" w:hAnsi="华文细黑" w:eastAsia="华文细黑"/>
          <w:bCs/>
          <w:szCs w:val="21"/>
          <w:u w:val="single"/>
        </w:rPr>
      </w:pPr>
      <w:r>
        <w:rPr>
          <w:rFonts w:hint="eastAsia" w:ascii="华文细黑" w:hAnsi="华文细黑" w:eastAsia="华文细黑"/>
          <w:bCs/>
          <w:szCs w:val="21"/>
          <w:u w:val="single"/>
        </w:rPr>
        <w:t>免费质保期不低于一年。质保期内，中标单位提供5×8小时的保障服务，并在</w:t>
      </w:r>
      <w:r>
        <w:rPr>
          <w:rFonts w:hint="eastAsia" w:ascii="华文细黑" w:hAnsi="华文细黑" w:eastAsia="华文细黑"/>
          <w:bCs/>
          <w:szCs w:val="21"/>
          <w:u w:val="single"/>
          <w:lang w:val="en-US" w:eastAsia="zh-CN"/>
        </w:rPr>
        <w:t>1</w:t>
      </w:r>
      <w:r>
        <w:rPr>
          <w:rFonts w:hint="eastAsia" w:ascii="华文细黑" w:hAnsi="华文细黑" w:eastAsia="华文细黑"/>
          <w:bCs/>
          <w:szCs w:val="21"/>
          <w:u w:val="single"/>
        </w:rPr>
        <w:t>小时内响应，，如需更换产品，必须在2个工作日内解决。</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九</w:t>
      </w:r>
      <w:r>
        <w:rPr>
          <w:rFonts w:hint="eastAsia" w:ascii="华文细黑" w:hAnsi="华文细黑" w:eastAsia="华文细黑"/>
          <w:b/>
          <w:bCs/>
          <w:szCs w:val="21"/>
        </w:rPr>
        <w:t>条</w:t>
      </w:r>
      <w:r>
        <w:rPr>
          <w:rFonts w:hint="eastAsia" w:ascii="华文细黑" w:hAnsi="华文细黑" w:eastAsia="华文细黑"/>
          <w:bCs/>
          <w:szCs w:val="21"/>
        </w:rPr>
        <w:t xml:space="preserve"> 变更和解除合同</w:t>
      </w:r>
    </w:p>
    <w:p>
      <w:pPr>
        <w:pStyle w:val="35"/>
        <w:spacing w:line="240" w:lineRule="auto"/>
        <w:rPr>
          <w:rFonts w:ascii="华文细黑" w:hAnsi="华文细黑" w:eastAsia="华文细黑"/>
          <w:bCs/>
          <w:szCs w:val="21"/>
          <w:u w:val="single"/>
        </w:rPr>
      </w:pPr>
      <w:r>
        <w:rPr>
          <w:rFonts w:hint="eastAsia" w:ascii="华文细黑" w:hAnsi="华文细黑" w:eastAsia="华文细黑"/>
          <w:bCs/>
          <w:szCs w:val="21"/>
        </w:rPr>
        <w:t>8.1乙方不得将本合约全部或部分权利或义务移转予第三人。</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w:t>
      </w:r>
      <w:r>
        <w:rPr>
          <w:rFonts w:hint="eastAsia" w:ascii="华文细黑" w:hAnsi="华文细黑" w:eastAsia="华文细黑"/>
          <w:b/>
          <w:bCs/>
          <w:szCs w:val="21"/>
          <w:lang w:eastAsia="zh-CN"/>
        </w:rPr>
        <w:t>十</w:t>
      </w:r>
      <w:r>
        <w:rPr>
          <w:rFonts w:hint="eastAsia" w:ascii="华文细黑" w:hAnsi="华文细黑" w:eastAsia="华文细黑"/>
          <w:b/>
          <w:bCs/>
          <w:szCs w:val="21"/>
        </w:rPr>
        <w:t>条</w:t>
      </w:r>
      <w:r>
        <w:rPr>
          <w:rFonts w:hint="eastAsia" w:ascii="华文细黑" w:hAnsi="华文细黑" w:eastAsia="华文细黑"/>
          <w:bCs/>
          <w:szCs w:val="21"/>
        </w:rPr>
        <w:t xml:space="preserve"> 不可抗力</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一</w:t>
      </w:r>
      <w:r>
        <w:rPr>
          <w:rFonts w:hint="eastAsia" w:ascii="华文细黑" w:hAnsi="华文细黑" w:eastAsia="华文细黑"/>
          <w:b/>
          <w:bCs/>
          <w:szCs w:val="21"/>
        </w:rPr>
        <w:t>条</w:t>
      </w:r>
      <w:r>
        <w:rPr>
          <w:rFonts w:hint="eastAsia" w:ascii="华文细黑" w:hAnsi="华文细黑" w:eastAsia="华文细黑"/>
          <w:bCs/>
          <w:szCs w:val="21"/>
        </w:rPr>
        <w:t xml:space="preserve"> 违约责任</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甲方违约责任：若甲方未按约定付款，每逾期一日，按未付款金额以银行同期贷款利率计算违约金。</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乙方违约责任：</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1、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2、如乙方违反本合同或订单所要求之质量，致所提供之货物有瑕疵或其它质量问题时，甲方除得依本合同相关条款主张权利外，并有权要求乙方支付该笔货品订单合同总价的百分之二十的违约金。</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 xml:space="preserve">3、因产品质量造成甲方损失，甲方有权向乙方索赔损失包括不限于检验费、换货的运费、仓储费、装卸费、保险费及诉讼中的律师费等。      </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4、乙方逾期交付发票的，按照逾期未交付发票的金额的1%向甲方支付违约金。</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5、乙方逾期交货经甲方书面通知后仍迟延或拒绝，甲方有权单方面解除本合同并赔偿甲方所遭受损失，解除合同通知以甲方书面为准。</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二</w:t>
      </w:r>
      <w:r>
        <w:rPr>
          <w:rFonts w:hint="eastAsia" w:ascii="华文细黑" w:hAnsi="华文细黑" w:eastAsia="华文细黑"/>
          <w:b/>
          <w:bCs/>
          <w:szCs w:val="21"/>
        </w:rPr>
        <w:t>条</w:t>
      </w:r>
      <w:r>
        <w:rPr>
          <w:rFonts w:hint="eastAsia" w:ascii="华文细黑" w:hAnsi="华文细黑" w:eastAsia="华文细黑"/>
          <w:bCs/>
          <w:szCs w:val="21"/>
        </w:rPr>
        <w:t xml:space="preserve"> 争端解决</w:t>
      </w:r>
    </w:p>
    <w:p>
      <w:pPr>
        <w:pStyle w:val="35"/>
        <w:spacing w:line="240" w:lineRule="auto"/>
        <w:rPr>
          <w:rFonts w:ascii="华文细黑" w:hAnsi="华文细黑" w:eastAsia="华文细黑"/>
          <w:bCs/>
          <w:szCs w:val="21"/>
        </w:rPr>
      </w:pPr>
      <w:r>
        <w:rPr>
          <w:rFonts w:hint="eastAsia" w:ascii="华文细黑" w:hAnsi="华文细黑" w:eastAsia="华文细黑"/>
          <w:bCs/>
          <w:szCs w:val="21"/>
        </w:rPr>
        <w:t>甲乙双方因合同的解释或履行发生争议时，首先应通过友好协商解决；协商不成的，任何一方应向甲方所在地有管辖权的人民法院提请诉讼。</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三</w:t>
      </w:r>
      <w:r>
        <w:rPr>
          <w:rFonts w:hint="eastAsia" w:ascii="华文细黑" w:hAnsi="华文细黑" w:eastAsia="华文细黑"/>
          <w:b/>
          <w:bCs/>
          <w:szCs w:val="21"/>
        </w:rPr>
        <w:t>条</w:t>
      </w:r>
      <w:r>
        <w:rPr>
          <w:rFonts w:hint="eastAsia" w:ascii="华文细黑" w:hAnsi="华文细黑" w:eastAsia="华文细黑"/>
          <w:bCs/>
          <w:szCs w:val="21"/>
        </w:rPr>
        <w:t xml:space="preserve"> 本合同自双方当事人签字盖章后生效。</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四</w:t>
      </w:r>
      <w:r>
        <w:rPr>
          <w:rFonts w:hint="eastAsia" w:ascii="华文细黑" w:hAnsi="华文细黑" w:eastAsia="华文细黑"/>
          <w:b/>
          <w:bCs/>
          <w:szCs w:val="21"/>
        </w:rPr>
        <w:t>条</w:t>
      </w:r>
      <w:r>
        <w:rPr>
          <w:rFonts w:hint="eastAsia" w:ascii="华文细黑" w:hAnsi="华文细黑" w:eastAsia="华文细黑"/>
          <w:bCs/>
          <w:szCs w:val="21"/>
        </w:rPr>
        <w:t xml:space="preserve"> 本合同一式四份，甲乙双方各执两份，具有同等效力。</w:t>
      </w:r>
    </w:p>
    <w:p>
      <w:pPr>
        <w:pStyle w:val="35"/>
        <w:spacing w:line="240" w:lineRule="auto"/>
        <w:rPr>
          <w:rFonts w:ascii="华文细黑" w:hAnsi="华文细黑" w:eastAsia="华文细黑"/>
          <w:bCs/>
          <w:szCs w:val="21"/>
        </w:rPr>
      </w:pPr>
      <w:r>
        <w:rPr>
          <w:rFonts w:hint="eastAsia" w:ascii="华文细黑" w:hAnsi="华文细黑" w:eastAsia="华文细黑"/>
          <w:b/>
          <w:bCs/>
          <w:szCs w:val="21"/>
        </w:rPr>
        <w:t>第十</w:t>
      </w:r>
      <w:r>
        <w:rPr>
          <w:rFonts w:hint="eastAsia" w:ascii="华文细黑" w:hAnsi="华文细黑" w:eastAsia="华文细黑"/>
          <w:b/>
          <w:bCs/>
          <w:szCs w:val="21"/>
          <w:lang w:eastAsia="zh-CN"/>
        </w:rPr>
        <w:t>五</w:t>
      </w:r>
      <w:r>
        <w:rPr>
          <w:rFonts w:hint="eastAsia" w:ascii="华文细黑" w:hAnsi="华文细黑" w:eastAsia="华文细黑"/>
          <w:b/>
          <w:bCs/>
          <w:szCs w:val="21"/>
        </w:rPr>
        <w:t>条</w:t>
      </w:r>
      <w:r>
        <w:rPr>
          <w:rFonts w:hint="eastAsia" w:ascii="华文细黑" w:hAnsi="华文细黑" w:eastAsia="华文细黑"/>
          <w:bCs/>
          <w:szCs w:val="21"/>
        </w:rPr>
        <w:t xml:space="preserve"> 本合同未尽事宜按照双方协商，另立补充协议，补充协议与本合同具有同等法律效力。</w:t>
      </w:r>
    </w:p>
    <w:p>
      <w:pPr>
        <w:pStyle w:val="35"/>
        <w:spacing w:line="240" w:lineRule="auto"/>
        <w:rPr>
          <w:rFonts w:ascii="华文细黑" w:hAnsi="华文细黑" w:eastAsia="华文细黑"/>
          <w:bCs/>
          <w:szCs w:val="21"/>
          <w:u w:val="single"/>
        </w:rPr>
      </w:pPr>
      <w:r>
        <w:rPr>
          <w:rFonts w:hint="eastAsia" w:ascii="华文细黑" w:hAnsi="华文细黑" w:eastAsia="华文细黑"/>
          <w:b/>
          <w:bCs/>
          <w:szCs w:val="21"/>
        </w:rPr>
        <w:t>第十</w:t>
      </w:r>
      <w:r>
        <w:rPr>
          <w:rFonts w:hint="eastAsia" w:ascii="华文细黑" w:hAnsi="华文细黑" w:eastAsia="华文细黑"/>
          <w:b/>
          <w:bCs/>
          <w:szCs w:val="21"/>
          <w:lang w:eastAsia="zh-CN"/>
        </w:rPr>
        <w:t>六</w:t>
      </w:r>
      <w:r>
        <w:rPr>
          <w:rFonts w:hint="eastAsia" w:ascii="华文细黑" w:hAnsi="华文细黑" w:eastAsia="华文细黑"/>
          <w:b/>
          <w:bCs/>
          <w:szCs w:val="21"/>
        </w:rPr>
        <w:t>条</w:t>
      </w:r>
      <w:r>
        <w:rPr>
          <w:rFonts w:hint="eastAsia" w:ascii="华文细黑" w:hAnsi="华文细黑" w:eastAsia="华文细黑"/>
          <w:bCs/>
          <w:szCs w:val="21"/>
        </w:rPr>
        <w:t xml:space="preserve"> 其他约定事项：</w:t>
      </w:r>
    </w:p>
    <w:p>
      <w:pPr>
        <w:pStyle w:val="35"/>
        <w:rPr>
          <w:rFonts w:ascii="华文细黑" w:hAnsi="华文细黑" w:eastAsia="华文细黑"/>
          <w:bCs/>
          <w:szCs w:val="21"/>
        </w:rPr>
      </w:pPr>
    </w:p>
    <w:p>
      <w:pPr>
        <w:pStyle w:val="35"/>
        <w:rPr>
          <w:rFonts w:ascii="华文细黑" w:hAnsi="华文细黑" w:eastAsia="华文细黑"/>
          <w:bCs/>
          <w:szCs w:val="21"/>
        </w:rPr>
      </w:pPr>
      <w:r>
        <w:rPr>
          <w:rFonts w:hint="eastAsia" w:ascii="华文细黑" w:hAnsi="华文细黑" w:eastAsia="华文细黑"/>
          <w:bCs/>
          <w:szCs w:val="21"/>
        </w:rPr>
        <w:t>甲方：                                    乙方：</w:t>
      </w:r>
    </w:p>
    <w:p>
      <w:pPr>
        <w:pStyle w:val="35"/>
        <w:rPr>
          <w:rFonts w:ascii="华文细黑" w:hAnsi="华文细黑" w:eastAsia="华文细黑"/>
          <w:bCs/>
          <w:szCs w:val="21"/>
        </w:rPr>
      </w:pPr>
      <w:r>
        <w:rPr>
          <w:rFonts w:hint="eastAsia" w:ascii="华文细黑" w:hAnsi="华文细黑" w:eastAsia="华文细黑"/>
          <w:bCs/>
          <w:szCs w:val="21"/>
        </w:rPr>
        <w:t>授权代表人（签字）：                       授权代表人（签字）：</w:t>
      </w:r>
    </w:p>
    <w:p>
      <w:pPr>
        <w:pStyle w:val="35"/>
        <w:rPr>
          <w:rFonts w:ascii="华文细黑" w:hAnsi="华文细黑" w:eastAsia="华文细黑"/>
          <w:bCs/>
          <w:szCs w:val="21"/>
        </w:rPr>
      </w:pPr>
      <w:r>
        <w:rPr>
          <w:rFonts w:hint="eastAsia" w:ascii="华文细黑" w:hAnsi="华文细黑" w:eastAsia="华文细黑"/>
          <w:bCs/>
          <w:szCs w:val="21"/>
        </w:rPr>
        <w:t>税号：                                    税号：</w:t>
      </w:r>
    </w:p>
    <w:p>
      <w:pPr>
        <w:pStyle w:val="35"/>
        <w:rPr>
          <w:rFonts w:ascii="华文细黑" w:hAnsi="华文细黑" w:eastAsia="华文细黑"/>
          <w:bCs/>
          <w:szCs w:val="21"/>
        </w:rPr>
      </w:pPr>
      <w:r>
        <w:rPr>
          <w:rFonts w:hint="eastAsia" w:ascii="华文细黑" w:hAnsi="华文细黑" w:eastAsia="华文细黑"/>
          <w:bCs/>
          <w:szCs w:val="21"/>
        </w:rPr>
        <w:t>开户行：                                  开户行：</w:t>
      </w:r>
    </w:p>
    <w:p>
      <w:pPr>
        <w:pStyle w:val="35"/>
        <w:rPr>
          <w:rFonts w:ascii="华文细黑" w:hAnsi="华文细黑" w:eastAsia="华文细黑"/>
          <w:bCs/>
          <w:szCs w:val="21"/>
        </w:rPr>
      </w:pPr>
      <w:r>
        <w:rPr>
          <w:rFonts w:hint="eastAsia" w:ascii="华文细黑" w:hAnsi="华文细黑" w:eastAsia="华文细黑"/>
          <w:bCs/>
          <w:szCs w:val="21"/>
        </w:rPr>
        <w:t>账号：                                    账号：</w:t>
      </w:r>
    </w:p>
    <w:p>
      <w:pPr>
        <w:pStyle w:val="35"/>
        <w:rPr>
          <w:rFonts w:hint="eastAsia" w:ascii="华文细黑" w:hAnsi="华文细黑" w:eastAsia="华文细黑"/>
          <w:bCs/>
          <w:szCs w:val="21"/>
        </w:rPr>
      </w:pPr>
      <w:r>
        <w:rPr>
          <w:rFonts w:hint="eastAsia" w:ascii="华文细黑" w:hAnsi="华文细黑" w:eastAsia="华文细黑"/>
          <w:bCs/>
          <w:szCs w:val="21"/>
        </w:rPr>
        <w:t>日期：                                    日期：</w:t>
      </w:r>
    </w:p>
    <w:p>
      <w:pPr>
        <w:pStyle w:val="35"/>
        <w:rPr>
          <w:rFonts w:hint="eastAsia" w:ascii="华文细黑" w:hAnsi="华文细黑" w:eastAsia="华文细黑"/>
          <w:bCs/>
          <w:szCs w:val="21"/>
        </w:rPr>
      </w:pPr>
      <w:bookmarkStart w:id="63" w:name="_GoBack"/>
      <w:bookmarkEnd w:id="63"/>
    </w:p>
    <w:p>
      <w:pPr>
        <w:pStyle w:val="20"/>
        <w:jc w:val="center"/>
        <w:rPr>
          <w:rFonts w:hint="eastAsia" w:ascii="仿宋" w:hAnsi="仿宋" w:eastAsia="仿宋" w:cs="仿宋"/>
        </w:rPr>
      </w:pP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62" w:name="_Toc14110"/>
      <w:r>
        <w:rPr>
          <w:rFonts w:hint="eastAsia" w:ascii="仿宋" w:hAnsi="仿宋" w:eastAsia="仿宋" w:cs="仿宋"/>
          <w:lang w:eastAsia="zh-CN"/>
        </w:rPr>
        <w:t>第六章、附件</w:t>
      </w:r>
      <w:bookmarkEnd w:id="62"/>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胥城食品公司年货炒货采购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胥城食品公司年货炒货采购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胥城食品公司年货炒货采购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2020</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胥城食品公司年货炒货采购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5A2E55CE"/>
    <w:multiLevelType w:val="singleLevel"/>
    <w:tmpl w:val="5A2E55CE"/>
    <w:lvl w:ilvl="0" w:tentative="0">
      <w:start w:val="8"/>
      <w:numFmt w:val="chineseCounting"/>
      <w:suff w:val="nothing"/>
      <w:lvlText w:val="第%1条、"/>
      <w:lvlJc w:val="left"/>
    </w:lvl>
  </w:abstractNum>
  <w:abstractNum w:abstractNumId="6">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6"/>
  </w:num>
  <w:num w:numId="2">
    <w:abstractNumId w:val="4"/>
  </w:num>
  <w:num w:numId="3">
    <w:abstractNumId w:val="2"/>
  </w:num>
  <w:num w:numId="4">
    <w:abstractNumId w:val="0"/>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4F234B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2F0254"/>
    <w:rsid w:val="0856062D"/>
    <w:rsid w:val="08B0715A"/>
    <w:rsid w:val="091D3F5E"/>
    <w:rsid w:val="094F412C"/>
    <w:rsid w:val="098D0F06"/>
    <w:rsid w:val="099A02B9"/>
    <w:rsid w:val="09AE3F0E"/>
    <w:rsid w:val="09EA5B12"/>
    <w:rsid w:val="09F424AA"/>
    <w:rsid w:val="0A360457"/>
    <w:rsid w:val="0A7C3DA6"/>
    <w:rsid w:val="0AE34921"/>
    <w:rsid w:val="0B4E5B30"/>
    <w:rsid w:val="0B624E01"/>
    <w:rsid w:val="0BF66114"/>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3D5DE6"/>
    <w:rsid w:val="19AD68D9"/>
    <w:rsid w:val="1A0C52D9"/>
    <w:rsid w:val="1A267315"/>
    <w:rsid w:val="1AF60BCB"/>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334D25"/>
    <w:rsid w:val="1E4C161E"/>
    <w:rsid w:val="1E7F0F7A"/>
    <w:rsid w:val="1EE62766"/>
    <w:rsid w:val="1EF32E3E"/>
    <w:rsid w:val="1F6024E0"/>
    <w:rsid w:val="207E7F83"/>
    <w:rsid w:val="20C10BA7"/>
    <w:rsid w:val="20E46263"/>
    <w:rsid w:val="210F7AF4"/>
    <w:rsid w:val="21892F84"/>
    <w:rsid w:val="218C3E40"/>
    <w:rsid w:val="21A4008A"/>
    <w:rsid w:val="21D449AB"/>
    <w:rsid w:val="22030B0F"/>
    <w:rsid w:val="22206576"/>
    <w:rsid w:val="228C7812"/>
    <w:rsid w:val="236B739D"/>
    <w:rsid w:val="23786861"/>
    <w:rsid w:val="23B12644"/>
    <w:rsid w:val="24716B97"/>
    <w:rsid w:val="2490627B"/>
    <w:rsid w:val="25301B87"/>
    <w:rsid w:val="25A36702"/>
    <w:rsid w:val="25E34D3F"/>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D14C79"/>
    <w:rsid w:val="2B342EB3"/>
    <w:rsid w:val="2B683A70"/>
    <w:rsid w:val="2B88597B"/>
    <w:rsid w:val="2C3B11CB"/>
    <w:rsid w:val="2C7B2CA8"/>
    <w:rsid w:val="2C91378A"/>
    <w:rsid w:val="2CA4188C"/>
    <w:rsid w:val="2CAC0903"/>
    <w:rsid w:val="2CDF2662"/>
    <w:rsid w:val="2CE22EAC"/>
    <w:rsid w:val="2CF97D51"/>
    <w:rsid w:val="2D5C1B84"/>
    <w:rsid w:val="2D9B09E0"/>
    <w:rsid w:val="2DCC337E"/>
    <w:rsid w:val="2E1D5AD2"/>
    <w:rsid w:val="2E2267E9"/>
    <w:rsid w:val="2E367DBC"/>
    <w:rsid w:val="2E8E6225"/>
    <w:rsid w:val="2E9500F1"/>
    <w:rsid w:val="2F344DC8"/>
    <w:rsid w:val="2F51066A"/>
    <w:rsid w:val="2F8E0489"/>
    <w:rsid w:val="30695537"/>
    <w:rsid w:val="30AB19EF"/>
    <w:rsid w:val="312732DA"/>
    <w:rsid w:val="317D687A"/>
    <w:rsid w:val="31906EAD"/>
    <w:rsid w:val="31B276A4"/>
    <w:rsid w:val="31D25200"/>
    <w:rsid w:val="32070663"/>
    <w:rsid w:val="32125E52"/>
    <w:rsid w:val="32647447"/>
    <w:rsid w:val="32701839"/>
    <w:rsid w:val="32C73A5B"/>
    <w:rsid w:val="32FC67D3"/>
    <w:rsid w:val="33694E96"/>
    <w:rsid w:val="33697DC8"/>
    <w:rsid w:val="3370332B"/>
    <w:rsid w:val="337F0129"/>
    <w:rsid w:val="338E6DE1"/>
    <w:rsid w:val="33CC1E01"/>
    <w:rsid w:val="34313157"/>
    <w:rsid w:val="345A3CFF"/>
    <w:rsid w:val="346C7E24"/>
    <w:rsid w:val="34AA1F07"/>
    <w:rsid w:val="34E66245"/>
    <w:rsid w:val="35AA136C"/>
    <w:rsid w:val="35CB0F7E"/>
    <w:rsid w:val="35DD1ABA"/>
    <w:rsid w:val="35EC631A"/>
    <w:rsid w:val="36436A43"/>
    <w:rsid w:val="36554BA1"/>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412E67"/>
    <w:rsid w:val="3C5052F4"/>
    <w:rsid w:val="3C731B93"/>
    <w:rsid w:val="3CD6440B"/>
    <w:rsid w:val="3D584B2F"/>
    <w:rsid w:val="3D607ACA"/>
    <w:rsid w:val="3D7B4D40"/>
    <w:rsid w:val="3D9C350E"/>
    <w:rsid w:val="3DBD109D"/>
    <w:rsid w:val="3E097D7B"/>
    <w:rsid w:val="3E7A3D4A"/>
    <w:rsid w:val="3EFC552A"/>
    <w:rsid w:val="3F4D7D97"/>
    <w:rsid w:val="3F701693"/>
    <w:rsid w:val="3FA33AD8"/>
    <w:rsid w:val="3FE810FD"/>
    <w:rsid w:val="403D46E0"/>
    <w:rsid w:val="4073181B"/>
    <w:rsid w:val="409D363B"/>
    <w:rsid w:val="41103E9B"/>
    <w:rsid w:val="416060D4"/>
    <w:rsid w:val="41CF3C4F"/>
    <w:rsid w:val="41F07EC1"/>
    <w:rsid w:val="41F1491B"/>
    <w:rsid w:val="422C2F00"/>
    <w:rsid w:val="42392BAC"/>
    <w:rsid w:val="43110884"/>
    <w:rsid w:val="4375684E"/>
    <w:rsid w:val="439F7BE7"/>
    <w:rsid w:val="43AA0AE4"/>
    <w:rsid w:val="43F21023"/>
    <w:rsid w:val="442B216A"/>
    <w:rsid w:val="4480471D"/>
    <w:rsid w:val="449017FE"/>
    <w:rsid w:val="45424C4A"/>
    <w:rsid w:val="456C74AC"/>
    <w:rsid w:val="45875DE0"/>
    <w:rsid w:val="46337FCA"/>
    <w:rsid w:val="46831EA8"/>
    <w:rsid w:val="46D451E1"/>
    <w:rsid w:val="46D96DCD"/>
    <w:rsid w:val="46E94485"/>
    <w:rsid w:val="47792559"/>
    <w:rsid w:val="48557862"/>
    <w:rsid w:val="48893B70"/>
    <w:rsid w:val="48961E69"/>
    <w:rsid w:val="48C377A6"/>
    <w:rsid w:val="49074C73"/>
    <w:rsid w:val="490C14AE"/>
    <w:rsid w:val="492A4491"/>
    <w:rsid w:val="498656A9"/>
    <w:rsid w:val="498A51A5"/>
    <w:rsid w:val="49907691"/>
    <w:rsid w:val="49CD4389"/>
    <w:rsid w:val="49E44009"/>
    <w:rsid w:val="49EE3483"/>
    <w:rsid w:val="49F477ED"/>
    <w:rsid w:val="49FB0086"/>
    <w:rsid w:val="4AA00BE0"/>
    <w:rsid w:val="4ACC77BD"/>
    <w:rsid w:val="4AF90EFC"/>
    <w:rsid w:val="4B211C49"/>
    <w:rsid w:val="4B600068"/>
    <w:rsid w:val="4B791ACE"/>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45325E"/>
    <w:rsid w:val="53CE15C0"/>
    <w:rsid w:val="53DD5FC6"/>
    <w:rsid w:val="543A2922"/>
    <w:rsid w:val="54847773"/>
    <w:rsid w:val="548D1494"/>
    <w:rsid w:val="54B866C9"/>
    <w:rsid w:val="54FA1CA7"/>
    <w:rsid w:val="556870FD"/>
    <w:rsid w:val="558619EB"/>
    <w:rsid w:val="55887DF1"/>
    <w:rsid w:val="55973D2A"/>
    <w:rsid w:val="559C7E5C"/>
    <w:rsid w:val="55A10B51"/>
    <w:rsid w:val="55DF25A4"/>
    <w:rsid w:val="571B6EA4"/>
    <w:rsid w:val="57D14C02"/>
    <w:rsid w:val="57FD4FE7"/>
    <w:rsid w:val="580F7DC7"/>
    <w:rsid w:val="586C64CB"/>
    <w:rsid w:val="589C290E"/>
    <w:rsid w:val="58AA4A71"/>
    <w:rsid w:val="58D27D93"/>
    <w:rsid w:val="59467072"/>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5B7862"/>
    <w:rsid w:val="5C625009"/>
    <w:rsid w:val="5C745E91"/>
    <w:rsid w:val="5C964D3C"/>
    <w:rsid w:val="5CBF1249"/>
    <w:rsid w:val="5CEB2E23"/>
    <w:rsid w:val="5D070CE7"/>
    <w:rsid w:val="5D5274A2"/>
    <w:rsid w:val="5DB32FFD"/>
    <w:rsid w:val="5DB837FB"/>
    <w:rsid w:val="5DD54524"/>
    <w:rsid w:val="5E60516F"/>
    <w:rsid w:val="5E8F4F42"/>
    <w:rsid w:val="5E95021A"/>
    <w:rsid w:val="5EA66F51"/>
    <w:rsid w:val="5EB651B2"/>
    <w:rsid w:val="5ED3545F"/>
    <w:rsid w:val="5F213563"/>
    <w:rsid w:val="5F53513A"/>
    <w:rsid w:val="5F742377"/>
    <w:rsid w:val="5F9B1D33"/>
    <w:rsid w:val="600305FE"/>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A4233E"/>
    <w:rsid w:val="67CE72FC"/>
    <w:rsid w:val="67E02E9E"/>
    <w:rsid w:val="67F6765E"/>
    <w:rsid w:val="695E2FDB"/>
    <w:rsid w:val="6A285CE3"/>
    <w:rsid w:val="6A756629"/>
    <w:rsid w:val="6AFF3B23"/>
    <w:rsid w:val="6B591C27"/>
    <w:rsid w:val="6B817F8D"/>
    <w:rsid w:val="6BA862BD"/>
    <w:rsid w:val="6BF87318"/>
    <w:rsid w:val="6C1D1673"/>
    <w:rsid w:val="6C222A6F"/>
    <w:rsid w:val="6CB92937"/>
    <w:rsid w:val="6D22664C"/>
    <w:rsid w:val="6D3911BE"/>
    <w:rsid w:val="6E9B756B"/>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C53779"/>
    <w:rsid w:val="72D2794E"/>
    <w:rsid w:val="72DC67C8"/>
    <w:rsid w:val="7321788E"/>
    <w:rsid w:val="732E08E5"/>
    <w:rsid w:val="735D5A77"/>
    <w:rsid w:val="737F5D8C"/>
    <w:rsid w:val="73A733BB"/>
    <w:rsid w:val="749116C1"/>
    <w:rsid w:val="74E819FA"/>
    <w:rsid w:val="75192DAF"/>
    <w:rsid w:val="75265064"/>
    <w:rsid w:val="75846851"/>
    <w:rsid w:val="75AE223D"/>
    <w:rsid w:val="76046BE0"/>
    <w:rsid w:val="766D2A87"/>
    <w:rsid w:val="76820D0C"/>
    <w:rsid w:val="768B77ED"/>
    <w:rsid w:val="769A13A3"/>
    <w:rsid w:val="770601E9"/>
    <w:rsid w:val="7714539C"/>
    <w:rsid w:val="773A7312"/>
    <w:rsid w:val="774760CB"/>
    <w:rsid w:val="779E2A31"/>
    <w:rsid w:val="77C375F5"/>
    <w:rsid w:val="7827349A"/>
    <w:rsid w:val="786027B8"/>
    <w:rsid w:val="789F6717"/>
    <w:rsid w:val="79D346EE"/>
    <w:rsid w:val="7A644347"/>
    <w:rsid w:val="7B09414F"/>
    <w:rsid w:val="7B1D42EB"/>
    <w:rsid w:val="7B6B1ACE"/>
    <w:rsid w:val="7BFA1B51"/>
    <w:rsid w:val="7CF72D47"/>
    <w:rsid w:val="7CFA5801"/>
    <w:rsid w:val="7D49411F"/>
    <w:rsid w:val="7E025758"/>
    <w:rsid w:val="7E15462C"/>
    <w:rsid w:val="7E3F627C"/>
    <w:rsid w:val="7E4F6F7C"/>
    <w:rsid w:val="7E6606C5"/>
    <w:rsid w:val="7E83092B"/>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6324</Words>
  <Characters>6608</Characters>
  <Lines>121</Lines>
  <Paragraphs>34</Paragraphs>
  <TotalTime>12</TotalTime>
  <ScaleCrop>false</ScaleCrop>
  <LinksUpToDate>false</LinksUpToDate>
  <CharactersWithSpaces>7854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2020-11-23T07:29:51Z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