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lang w:eastAsia="zh-CN"/>
        </w:rPr>
        <w:t>SXCG202007-C-018</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胥城食品公司月饼盒采购项目</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苏州胥城食品有限公司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2020</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07</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20</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40"/>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_Toc19043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_Toc19043 </w:instrText>
      </w:r>
      <w:r>
        <w:fldChar w:fldCharType="separate"/>
      </w:r>
      <w:r>
        <w:t>3</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_Toc7712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_Toc7712 </w:instrText>
      </w:r>
      <w:r>
        <w:fldChar w:fldCharType="separate"/>
      </w:r>
      <w:r>
        <w:t>4</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_Toc29802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_Toc29802 </w:instrText>
      </w:r>
      <w:r>
        <w:fldChar w:fldCharType="separate"/>
      </w:r>
      <w:r>
        <w:t>8</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_Toc18620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r>
        <w:tab/>
      </w:r>
      <w:r>
        <w:fldChar w:fldCharType="begin"/>
      </w:r>
      <w:r>
        <w:instrText xml:space="preserve"> PAGEREF _Toc18620 </w:instrText>
      </w:r>
      <w:r>
        <w:fldChar w:fldCharType="separate"/>
      </w:r>
      <w:r>
        <w:t>9</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_Toc8991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_Toc8991 </w:instrText>
      </w:r>
      <w:r>
        <w:fldChar w:fldCharType="separate"/>
      </w:r>
      <w:r>
        <w:t>13</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_Toc14110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_Toc14110 </w:instrText>
      </w:r>
      <w:r>
        <w:fldChar w:fldCharType="separate"/>
      </w:r>
      <w:r>
        <w:t>15</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20"/>
        <w:jc w:val="center"/>
        <w:rPr>
          <w:rFonts w:hint="eastAsia" w:ascii="仿宋" w:hAnsi="仿宋" w:eastAsia="仿宋" w:cs="仿宋"/>
        </w:rPr>
      </w:pPr>
      <w:bookmarkStart w:id="0" w:name="_Toc19043"/>
      <w:bookmarkStart w:id="1" w:name="_Toc4118"/>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胥城食品公司月饼盒采购项目</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SXCG202007-C-018</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w:t>
      </w:r>
      <w:r>
        <w:rPr>
          <w:rFonts w:hint="eastAsia" w:ascii="仿宋" w:hAnsi="仿宋" w:eastAsia="仿宋" w:cs="仿宋"/>
          <w:b/>
          <w:bCs/>
          <w:sz w:val="24"/>
          <w:szCs w:val="24"/>
          <w:highlight w:val="yellow"/>
        </w:rPr>
        <w:t>最终</w:t>
      </w:r>
      <w:r>
        <w:rPr>
          <w:rFonts w:hint="eastAsia" w:ascii="仿宋" w:hAnsi="仿宋" w:eastAsia="仿宋" w:cs="仿宋"/>
          <w:b/>
          <w:bCs/>
          <w:sz w:val="24"/>
          <w:szCs w:val="28"/>
          <w:highlight w:val="yellow"/>
          <w:lang w:eastAsia="zh-CN"/>
        </w:rPr>
        <w:t>按照提供实样效果和合理价格选择候选单位进行合同谈判</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日期：20</w:t>
      </w:r>
      <w:r>
        <w:rPr>
          <w:rFonts w:hint="eastAsia" w:ascii="仿宋" w:hAnsi="仿宋" w:eastAsia="仿宋" w:cs="仿宋"/>
          <w:sz w:val="24"/>
          <w:szCs w:val="28"/>
          <w:lang w:val="en-US" w:eastAsia="zh-CN"/>
        </w:rPr>
        <w:t>20</w:t>
      </w:r>
      <w:r>
        <w:rPr>
          <w:rFonts w:hint="eastAsia" w:ascii="仿宋" w:hAnsi="仿宋" w:eastAsia="仿宋" w:cs="仿宋"/>
          <w:sz w:val="24"/>
          <w:szCs w:val="28"/>
        </w:rPr>
        <w:t>年</w:t>
      </w:r>
      <w:r>
        <w:rPr>
          <w:rFonts w:hint="eastAsia" w:ascii="仿宋" w:hAnsi="仿宋" w:eastAsia="仿宋" w:cs="仿宋"/>
          <w:sz w:val="24"/>
          <w:szCs w:val="28"/>
          <w:lang w:val="en-US" w:eastAsia="zh-CN"/>
        </w:rPr>
        <w:t>07</w:t>
      </w:r>
      <w:r>
        <w:rPr>
          <w:rFonts w:hint="eastAsia" w:ascii="仿宋" w:hAnsi="仿宋" w:eastAsia="仿宋" w:cs="仿宋"/>
          <w:sz w:val="24"/>
          <w:szCs w:val="28"/>
        </w:rPr>
        <w:t>月</w:t>
      </w:r>
      <w:r>
        <w:rPr>
          <w:rFonts w:hint="eastAsia" w:ascii="仿宋" w:hAnsi="仿宋" w:eastAsia="仿宋" w:cs="仿宋"/>
          <w:sz w:val="24"/>
          <w:szCs w:val="28"/>
          <w:lang w:val="en-US" w:eastAsia="zh-CN"/>
        </w:rPr>
        <w:t>20</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20"/>
        <w:numPr>
          <w:ilvl w:val="0"/>
          <w:numId w:val="2"/>
        </w:numPr>
        <w:rPr>
          <w:rFonts w:hint="eastAsia" w:ascii="仿宋" w:hAnsi="仿宋" w:eastAsia="仿宋" w:cs="仿宋"/>
        </w:rPr>
      </w:pPr>
      <w:bookmarkStart w:id="3" w:name="_Toc7712"/>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1"/>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：SXCG202007-C-018</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：胥城食品公司月饼盒采购项目</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4"/>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招标文件咨询联系人：周胜敏，电话：17761883525</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地址：苏州市木东路399号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①、2020年08 月 03  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1</w:t>
            </w:r>
            <w:r>
              <w:rPr>
                <w:rFonts w:hint="eastAsia" w:ascii="仿宋" w:hAnsi="仿宋" w:eastAsia="仿宋" w:cs="仿宋"/>
                <w:sz w:val="24"/>
                <w:szCs w:val="28"/>
              </w:rPr>
              <w:t>、</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sz w:val="24"/>
                <w:szCs w:val="28"/>
                <w:lang w:val="en-US" w:eastAsia="zh-CN"/>
              </w:rPr>
              <w:t>3</w:t>
            </w:r>
            <w:r>
              <w:rPr>
                <w:rFonts w:hint="eastAsia" w:ascii="仿宋" w:hAnsi="仿宋" w:eastAsia="仿宋" w:cs="仿宋"/>
                <w:sz w:val="24"/>
                <w:szCs w:val="28"/>
              </w:rPr>
              <w:t>、三年内经营活动中没有重大违法记录</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4、提供符合招标范围的营业执照复印件并加盖公章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5、需要提供第三方质量检测合格报告</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6、能根据我方需求按时按量安排送货、卸货（此项费用应包含在报价里）。</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7、需配外箱（需要提供具体箱规）。</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8、包装内小盒需折叠。</w:t>
            </w:r>
          </w:p>
          <w:p>
            <w:pPr>
              <w:numPr>
                <w:ilvl w:val="0"/>
                <w:numId w:val="0"/>
              </w:numPr>
              <w:spacing w:line="400" w:lineRule="atLeast"/>
              <w:rPr>
                <w:rFonts w:hint="default"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yellow"/>
                <w:lang w:val="en-US" w:eastAsia="zh-CN"/>
              </w:rPr>
              <w:t>9、需根据招标要求进行打样一套，无论中标与否打样费用均由投标单位承担。（打样需要和投标书一起递交</w:t>
            </w:r>
            <w:bookmarkStart w:id="9" w:name="_GoBack"/>
            <w:bookmarkEnd w:id="9"/>
            <w:r>
              <w:rPr>
                <w:rFonts w:hint="eastAsia" w:ascii="仿宋" w:hAnsi="仿宋" w:eastAsia="仿宋" w:cs="仿宋"/>
                <w:b/>
                <w:bCs/>
                <w:color w:val="FF0000"/>
                <w:sz w:val="24"/>
                <w:szCs w:val="28"/>
                <w:highlight w:val="yellow"/>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2020</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08</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 xml:space="preserve">07 </w:t>
            </w:r>
            <w:r>
              <w:rPr>
                <w:rFonts w:hint="eastAsia" w:ascii="仿宋" w:hAnsi="仿宋" w:eastAsia="仿宋" w:cs="仿宋"/>
                <w:b/>
                <w:bCs/>
                <w:color w:val="auto"/>
                <w:sz w:val="24"/>
                <w:szCs w:val="24"/>
                <w:highlight w:val="yellow"/>
              </w:rPr>
              <w:t>日上午1</w:t>
            </w:r>
            <w:r>
              <w:rPr>
                <w:rFonts w:hint="eastAsia" w:ascii="仿宋" w:hAnsi="仿宋" w:eastAsia="仿宋" w:cs="仿宋"/>
                <w:b/>
                <w:bCs/>
                <w:color w:val="auto"/>
                <w:sz w:val="24"/>
                <w:szCs w:val="24"/>
                <w:highlight w:val="yellow"/>
                <w:lang w:val="en-US" w:eastAsia="zh-CN"/>
              </w:rPr>
              <w:t>5</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13915556818（只接收投标文件，不接受咨询）</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w:t>
            </w:r>
            <w:r>
              <w:rPr>
                <w:rFonts w:hint="eastAsia" w:ascii="仿宋" w:hAnsi="仿宋" w:eastAsia="仿宋" w:cs="仿宋"/>
                <w:b/>
                <w:bCs/>
                <w:sz w:val="24"/>
                <w:szCs w:val="24"/>
                <w:highlight w:val="yellow"/>
              </w:rPr>
              <w:t>最终</w:t>
            </w:r>
            <w:r>
              <w:rPr>
                <w:rFonts w:hint="eastAsia" w:ascii="仿宋" w:hAnsi="仿宋" w:eastAsia="仿宋" w:cs="仿宋"/>
                <w:b/>
                <w:bCs/>
                <w:sz w:val="24"/>
                <w:szCs w:val="28"/>
                <w:highlight w:val="yellow"/>
                <w:lang w:eastAsia="zh-CN"/>
              </w:rPr>
              <w:t>按照提供实样效果和合理价格选择候选单位进行合同谈判</w:t>
            </w:r>
            <w:r>
              <w:rPr>
                <w:rFonts w:hint="eastAsia" w:ascii="仿宋" w:hAnsi="仿宋" w:eastAsia="仿宋" w:cs="仿宋"/>
                <w:sz w:val="24"/>
                <w:szCs w:val="28"/>
                <w:highlight w:val="none"/>
                <w:lang w:eastAsia="zh-CN"/>
              </w:rPr>
              <w:t>，</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投标报价含运费、人工费、搬运费、税率、包材、安装费、保修费等</w:t>
            </w:r>
          </w:p>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pPr>
              <w:spacing w:line="400" w:lineRule="atLeast"/>
              <w:rPr>
                <w:rFonts w:hint="default" w:ascii="仿宋" w:hAnsi="仿宋" w:eastAsia="仿宋" w:cs="仿宋"/>
                <w:sz w:val="24"/>
                <w:szCs w:val="24"/>
                <w:highlight w:val="none"/>
                <w:lang w:val="en-US" w:eastAsia="zh-CN"/>
              </w:rPr>
            </w:pPr>
            <w:r>
              <w:rPr>
                <w:rFonts w:hint="default" w:ascii="仿宋" w:hAnsi="仿宋" w:eastAsia="仿宋" w:cs="仿宋"/>
                <w:sz w:val="24"/>
                <w:szCs w:val="24"/>
                <w:highlight w:val="none"/>
                <w:lang w:val="en-US" w:eastAsia="zh-CN"/>
              </w:rPr>
              <w:t>合同签订后</w:t>
            </w:r>
            <w:r>
              <w:rPr>
                <w:rFonts w:hint="eastAsia" w:ascii="仿宋" w:hAnsi="仿宋" w:eastAsia="仿宋" w:cs="仿宋"/>
                <w:sz w:val="24"/>
                <w:szCs w:val="24"/>
                <w:highlight w:val="none"/>
                <w:lang w:val="en-US" w:eastAsia="zh-CN"/>
              </w:rPr>
              <w:t>十</w:t>
            </w:r>
            <w:r>
              <w:rPr>
                <w:rFonts w:hint="default" w:ascii="仿宋" w:hAnsi="仿宋" w:eastAsia="仿宋" w:cs="仿宋"/>
                <w:sz w:val="24"/>
                <w:szCs w:val="24"/>
                <w:highlight w:val="none"/>
                <w:lang w:val="en-US" w:eastAsia="zh-CN"/>
              </w:rPr>
              <w:t>个工作日内付30%预付款，全部货到验收合格后且收到乙方提供的全额增值税专用发票后30个工作日内付清剩余款。</w:t>
            </w:r>
            <w:r>
              <w:rPr>
                <w:rFonts w:hint="eastAsia" w:ascii="仿宋" w:hAnsi="仿宋" w:eastAsia="仿宋" w:cs="仿宋"/>
                <w:sz w:val="24"/>
                <w:szCs w:val="24"/>
                <w:highlight w:val="none"/>
                <w:lang w:val="en-US" w:eastAsia="zh-CN"/>
              </w:rPr>
              <w:t>（最终以实际交货数量结算）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①</w:t>
      </w:r>
      <w:r>
        <w:rPr>
          <w:rFonts w:hint="eastAsia" w:ascii="仿宋" w:hAnsi="仿宋" w:eastAsia="仿宋" w:cs="仿宋"/>
          <w:sz w:val="24"/>
          <w:szCs w:val="28"/>
        </w:rPr>
        <w:t>、</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8"/>
          <w:lang w:eastAsia="zh-CN"/>
        </w:rPr>
        <w:t>⑥</w:t>
      </w:r>
      <w:r>
        <w:rPr>
          <w:rFonts w:hint="eastAsia" w:ascii="仿宋" w:hAnsi="仿宋" w:eastAsia="仿宋" w:cs="仿宋"/>
          <w:sz w:val="24"/>
          <w:szCs w:val="24"/>
        </w:rPr>
        <w:t>、企业营业执照复印件、资质证书、安全生产许可证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质量管理体系认证证书</w:t>
      </w:r>
      <w:r>
        <w:rPr>
          <w:rFonts w:hint="eastAsia" w:ascii="仿宋" w:hAnsi="仿宋" w:eastAsia="仿宋" w:cs="仿宋"/>
          <w:sz w:val="24"/>
          <w:szCs w:val="24"/>
        </w:rPr>
        <w:t>等（加盖公章）</w:t>
      </w:r>
    </w:p>
    <w:p>
      <w:pPr>
        <w:numPr>
          <w:ilvl w:val="255"/>
          <w:numId w:val="0"/>
        </w:numPr>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⑦</w:t>
      </w:r>
      <w:r>
        <w:rPr>
          <w:rFonts w:hint="eastAsia" w:ascii="仿宋" w:hAnsi="仿宋" w:eastAsia="仿宋" w:cs="仿宋"/>
          <w:sz w:val="24"/>
          <w:szCs w:val="28"/>
        </w:rPr>
        <w:t>、</w:t>
      </w:r>
      <w:r>
        <w:rPr>
          <w:rFonts w:hint="eastAsia" w:ascii="仿宋" w:hAnsi="仿宋" w:eastAsia="仿宋" w:cs="仿宋"/>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、类似成功案例的业绩证明</w:t>
      </w:r>
      <w:r>
        <w:rPr>
          <w:rFonts w:hint="eastAsia" w:ascii="仿宋" w:hAnsi="仿宋" w:eastAsia="仿宋" w:cs="仿宋"/>
          <w:b/>
          <w:bCs/>
          <w:sz w:val="24"/>
          <w:szCs w:val="24"/>
        </w:rPr>
        <w:t>（投标人同类项目实施情况一览表、合同复印件、用户验收单报告复印件）</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①、投标报价</w:t>
      </w:r>
    </w:p>
    <w:p>
      <w:pPr>
        <w:rPr>
          <w:rFonts w:hint="eastAsia" w:ascii="仿宋" w:hAnsi="仿宋" w:eastAsia="仿宋" w:cs="仿宋"/>
        </w:rPr>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仿宋" w:hAnsi="仿宋" w:eastAsia="仿宋" w:cs="仿宋"/>
          <w:b/>
          <w:bCs/>
          <w:szCs w:val="21"/>
          <w:lang w:eastAsia="zh-CN"/>
        </w:rPr>
        <w:br w:type="page"/>
      </w:r>
      <w:bookmarkStart w:id="4" w:name="_Toc29802"/>
    </w:p>
    <w:tbl>
      <w:tblPr>
        <w:tblStyle w:val="21"/>
        <w:tblpPr w:leftFromText="180" w:rightFromText="180" w:vertAnchor="text" w:horzAnchor="page" w:tblpX="538" w:tblpY="824"/>
        <w:tblOverlap w:val="never"/>
        <w:tblW w:w="15970" w:type="dxa"/>
        <w:tblInd w:w="0" w:type="dxa"/>
        <w:shd w:val="clear" w:color="auto" w:fill="auto"/>
        <w:tblLayout w:type="fixed"/>
        <w:tblCellMar>
          <w:top w:w="0" w:type="dxa"/>
          <w:left w:w="0" w:type="dxa"/>
          <w:bottom w:w="0" w:type="dxa"/>
          <w:right w:w="0" w:type="dxa"/>
        </w:tblCellMar>
      </w:tblPr>
      <w:tblGrid>
        <w:gridCol w:w="591"/>
        <w:gridCol w:w="878"/>
        <w:gridCol w:w="794"/>
        <w:gridCol w:w="1342"/>
        <w:gridCol w:w="4127"/>
        <w:gridCol w:w="1663"/>
        <w:gridCol w:w="600"/>
        <w:gridCol w:w="1410"/>
        <w:gridCol w:w="825"/>
        <w:gridCol w:w="1870"/>
        <w:gridCol w:w="1870"/>
      </w:tblGrid>
      <w:tr>
        <w:tblPrEx>
          <w:shd w:val="clear" w:color="auto" w:fill="auto"/>
          <w:tblCellMar>
            <w:top w:w="0" w:type="dxa"/>
            <w:left w:w="0" w:type="dxa"/>
            <w:bottom w:w="0" w:type="dxa"/>
            <w:right w:w="0" w:type="dxa"/>
          </w:tblCellMar>
        </w:tblPrEx>
        <w:trPr>
          <w:trHeight w:val="560" w:hRule="atLeast"/>
        </w:trPr>
        <w:tc>
          <w:tcPr>
            <w:tcW w:w="5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序号</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品名</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预估数量</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rPr>
              <w:t>款式</w:t>
            </w:r>
          </w:p>
        </w:tc>
        <w:tc>
          <w:tcPr>
            <w:tcW w:w="41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rPr>
              <w:t>工艺材质</w:t>
            </w:r>
          </w:p>
        </w:tc>
        <w:tc>
          <w:tcPr>
            <w:tcW w:w="1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b w:val="0"/>
                <w:bCs w:val="0"/>
                <w:sz w:val="22"/>
                <w:szCs w:val="22"/>
                <w:lang w:val="en-US" w:eastAsia="zh-CN"/>
              </w:rPr>
            </w:pPr>
            <w:r>
              <w:rPr>
                <w:rFonts w:hint="eastAsia"/>
              </w:rPr>
              <w:t>规格</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b w:val="0"/>
                <w:bCs w:val="0"/>
                <w:sz w:val="22"/>
                <w:szCs w:val="22"/>
                <w:lang w:val="en-US" w:eastAsia="zh-CN"/>
              </w:rPr>
            </w:pPr>
            <w:r>
              <w:rPr>
                <w:rFonts w:hint="eastAsia"/>
              </w:rPr>
              <w:t>装箱</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图纸</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单价</w:t>
            </w: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金额</w:t>
            </w: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备注</w:t>
            </w:r>
          </w:p>
        </w:tc>
      </w:tr>
      <w:tr>
        <w:tblPrEx>
          <w:tblCellMar>
            <w:top w:w="0" w:type="dxa"/>
            <w:left w:w="0" w:type="dxa"/>
            <w:bottom w:w="0" w:type="dxa"/>
            <w:right w:w="0" w:type="dxa"/>
          </w:tblCellMar>
        </w:tblPrEx>
        <w:trPr>
          <w:trHeight w:val="360" w:hRule="atLeast"/>
        </w:trPr>
        <w:tc>
          <w:tcPr>
            <w:tcW w:w="5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合家欢</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60000盒</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天地盖盒（含提袋）</w:t>
            </w:r>
          </w:p>
        </w:tc>
        <w:tc>
          <w:tcPr>
            <w:tcW w:w="41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350克白底白卡纸，胶印、覆亚膜、烫亚金、四色印刷；</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内盒：350克灰白、胶印、覆膜、裱白E瓦（140g+140g）</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内托：60丝植绒吸塑</w:t>
            </w:r>
          </w:p>
        </w:tc>
        <w:tc>
          <w:tcPr>
            <w:tcW w:w="1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36*24*4.5cm</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b w:val="0"/>
                <w:bCs w:val="0"/>
                <w:sz w:val="22"/>
                <w:szCs w:val="22"/>
                <w:lang w:val="en-US" w:eastAsia="zh-CN"/>
              </w:rPr>
            </w:pPr>
            <w:r>
              <w:rPr>
                <w:rFonts w:ascii="宋体" w:eastAsia="宋体" w:cs="宋体"/>
                <w:kern w:val="0"/>
                <w:sz w:val="20"/>
                <w:szCs w:val="20"/>
              </w:rPr>
              <w:t>1*10</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r>
              <w:rPr>
                <w:rFonts w:hint="eastAsia" w:ascii="仿宋" w:hAnsi="仿宋" w:eastAsia="仿宋" w:cs="仿宋"/>
                <w:b w:val="0"/>
                <w:bCs w:val="0"/>
                <w:sz w:val="22"/>
                <w:szCs w:val="22"/>
                <w:lang w:val="en-US" w:eastAsia="zh-CN"/>
              </w:rPr>
              <w:t>详见附件设计图纸</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5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秋月情</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30000盒</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宋体" w:cs="仿宋"/>
                <w:b w:val="0"/>
                <w:bCs w:val="0"/>
                <w:sz w:val="22"/>
                <w:szCs w:val="22"/>
                <w:lang w:val="en-US" w:eastAsia="zh-CN"/>
              </w:rPr>
            </w:pPr>
            <w:r>
              <w:rPr>
                <w:rFonts w:hint="eastAsia" w:ascii="仿宋" w:hAnsi="仿宋" w:eastAsia="仿宋" w:cs="仿宋"/>
                <w:b w:val="0"/>
                <w:bCs w:val="0"/>
                <w:sz w:val="22"/>
                <w:szCs w:val="22"/>
                <w:lang w:val="en-US" w:eastAsia="zh-CN"/>
              </w:rPr>
              <w:t>折叠式上开启盒（含提袋</w:t>
            </w:r>
            <w:r>
              <w:rPr>
                <w:rFonts w:hint="eastAsia" w:ascii="宋体" w:cs="宋体"/>
                <w:kern w:val="0"/>
                <w:sz w:val="20"/>
                <w:szCs w:val="20"/>
                <w:lang w:eastAsia="zh-CN"/>
              </w:rPr>
              <w:t>）</w:t>
            </w:r>
          </w:p>
        </w:tc>
        <w:tc>
          <w:tcPr>
            <w:tcW w:w="41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面：120g黑色艺术纸烫亚金，</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盒身180g铜版纸胶印哑膜裱3.0mm灰板；</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内托350g金卡合28g牛皮纸；</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内小盒300g白卡胶印哑膜；</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提袋：250g白卡胶印亚膜穿三股线</w:t>
            </w:r>
          </w:p>
        </w:tc>
        <w:tc>
          <w:tcPr>
            <w:tcW w:w="1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31.3*31.3*7cm</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b w:val="0"/>
                <w:bCs w:val="0"/>
                <w:sz w:val="22"/>
                <w:szCs w:val="22"/>
                <w:lang w:val="en-US" w:eastAsia="zh-CN"/>
              </w:rPr>
            </w:pPr>
            <w:r>
              <w:rPr>
                <w:rFonts w:ascii="宋体" w:eastAsia="宋体" w:cs="宋体"/>
                <w:kern w:val="0"/>
                <w:sz w:val="20"/>
                <w:szCs w:val="20"/>
              </w:rPr>
              <w:t>1*10</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宋体" w:cs="仿宋"/>
                <w:b w:val="0"/>
                <w:bCs w:val="0"/>
                <w:kern w:val="2"/>
                <w:sz w:val="22"/>
                <w:szCs w:val="22"/>
                <w:lang w:val="en-US" w:eastAsia="zh-CN" w:bidi="ar-SA"/>
              </w:rPr>
            </w:pPr>
            <w:r>
              <w:rPr>
                <w:rFonts w:hint="eastAsia" w:ascii="仿宋" w:hAnsi="仿宋" w:eastAsia="仿宋" w:cs="仿宋"/>
                <w:b w:val="0"/>
                <w:bCs w:val="0"/>
                <w:sz w:val="22"/>
                <w:szCs w:val="22"/>
                <w:lang w:val="en-US" w:eastAsia="zh-CN"/>
              </w:rPr>
              <w:t>详见附件设计图纸</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5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金玉缘</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10000盒</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双层抽屉盒（含提袋）</w:t>
            </w:r>
          </w:p>
        </w:tc>
        <w:tc>
          <w:tcPr>
            <w:tcW w:w="41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盒身120g黑色艺术纸烫亚金裱3mm密度板，两侧贴片400g灰白胶印哑膜；</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抽屉157g铜版纸胶印哑膜裱2.0mm灰板；</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内托350g金卡合28g牛皮纸；</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内小盒300g白卡胶印哑膜</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提袋：250g白卡胶印亚膜穿三股线</w:t>
            </w:r>
          </w:p>
        </w:tc>
        <w:tc>
          <w:tcPr>
            <w:tcW w:w="1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35.8*35.8*17.2cm</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b w:val="0"/>
                <w:bCs w:val="0"/>
                <w:sz w:val="22"/>
                <w:szCs w:val="22"/>
                <w:lang w:val="en-US" w:eastAsia="zh-CN"/>
              </w:rPr>
            </w:pPr>
            <w:r>
              <w:rPr>
                <w:rFonts w:ascii="宋体" w:eastAsia="宋体" w:cs="宋体"/>
                <w:kern w:val="0"/>
                <w:sz w:val="20"/>
                <w:szCs w:val="20"/>
              </w:rPr>
              <w:t>1*6</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r>
              <w:rPr>
                <w:rFonts w:hint="eastAsia" w:ascii="仿宋" w:hAnsi="仿宋" w:eastAsia="仿宋" w:cs="仿宋"/>
                <w:b w:val="0"/>
                <w:bCs w:val="0"/>
                <w:sz w:val="22"/>
                <w:szCs w:val="22"/>
                <w:lang w:val="en-US" w:eastAsia="zh-CN"/>
              </w:rPr>
              <w:t>详见附件设计图纸</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226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税金13%</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41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226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运费、</w:t>
            </w:r>
            <w:r>
              <w:rPr>
                <w:rFonts w:hint="eastAsia" w:ascii="仿宋" w:hAnsi="仿宋" w:eastAsia="仿宋" w:cs="仿宋"/>
                <w:b w:val="0"/>
                <w:bCs w:val="0"/>
                <w:sz w:val="22"/>
                <w:szCs w:val="22"/>
                <w:highlight w:val="yellow"/>
                <w:lang w:val="en-US" w:eastAsia="zh-CN"/>
              </w:rPr>
              <w:t>装卸费</w:t>
            </w:r>
            <w:r>
              <w:rPr>
                <w:rFonts w:hint="eastAsia" w:ascii="仿宋" w:hAnsi="仿宋" w:eastAsia="仿宋" w:cs="仿宋"/>
                <w:b w:val="0"/>
                <w:bCs w:val="0"/>
                <w:sz w:val="22"/>
                <w:szCs w:val="22"/>
                <w:lang w:val="en-US" w:eastAsia="zh-CN"/>
              </w:rPr>
              <w:t>、包材及人工等</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41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226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合计</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41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226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注：</w:t>
            </w:r>
          </w:p>
        </w:tc>
        <w:tc>
          <w:tcPr>
            <w:tcW w:w="13707"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both"/>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highlight w:val="yellow"/>
                <w:lang w:val="en-US" w:eastAsia="zh-CN"/>
              </w:rPr>
              <w:t>若有加单，请注明加单的货期及价格。</w:t>
            </w:r>
          </w:p>
        </w:tc>
      </w:tr>
    </w:tbl>
    <w:p>
      <w:pPr>
        <w:pStyle w:val="20"/>
        <w:jc w:val="center"/>
        <w:rPr>
          <w:rFonts w:hint="eastAsia" w:ascii="仿宋" w:hAnsi="仿宋" w:eastAsia="仿宋" w:cs="仿宋"/>
          <w:lang w:eastAsia="zh-CN"/>
        </w:rPr>
      </w:pP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bookmarkEnd w:id="4"/>
    </w:p>
    <w:p>
      <w:pPr>
        <w:rPr>
          <w:rFonts w:hint="eastAsia" w:ascii="仿宋" w:hAnsi="仿宋" w:eastAsia="仿宋" w:cs="仿宋"/>
          <w:b/>
          <w:bCs/>
          <w:sz w:val="24"/>
          <w:szCs w:val="24"/>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5" w:name="_Toc18620"/>
    </w:p>
    <w:p>
      <w:pPr>
        <w:rPr>
          <w:rFonts w:hint="eastAsia" w:ascii="Times New Roman" w:hAnsi="Times New Roman" w:eastAsia="宋体" w:cs="Times New Roman"/>
          <w:kern w:val="2"/>
          <w:sz w:val="21"/>
          <w:szCs w:val="22"/>
          <w:lang w:val="en-US" w:eastAsia="zh-CN" w:bidi="ar-SA"/>
        </w:rPr>
      </w:pPr>
    </w:p>
    <w:p>
      <w:pPr>
        <w:pStyle w:val="20"/>
        <w:numPr>
          <w:ilvl w:val="0"/>
          <w:numId w:val="5"/>
        </w:numPr>
        <w:jc w:val="center"/>
        <w:rPr>
          <w:rFonts w:hint="eastAsia" w:ascii="仿宋" w:hAnsi="仿宋" w:eastAsia="仿宋" w:cs="仿宋"/>
          <w:lang w:eastAsia="zh-CN"/>
        </w:rPr>
      </w:pPr>
      <w:r>
        <w:rPr>
          <w:rFonts w:hint="eastAsia" w:ascii="仿宋" w:hAnsi="仿宋" w:eastAsia="仿宋" w:cs="仿宋"/>
          <w:lang w:eastAsia="zh-CN"/>
        </w:rPr>
        <w:t>合同主要条款</w:t>
      </w:r>
      <w:bookmarkEnd w:id="5"/>
    </w:p>
    <w:p>
      <w:pPr>
        <w:rPr>
          <w:rFonts w:hint="eastAsia" w:ascii="仿宋" w:hAnsi="仿宋" w:eastAsia="仿宋" w:cs="仿宋"/>
          <w:b/>
          <w:sz w:val="24"/>
        </w:rPr>
      </w:pPr>
      <w:r>
        <w:rPr>
          <w:rFonts w:hint="eastAsia" w:ascii="仿宋" w:hAnsi="仿宋" w:eastAsia="仿宋" w:cs="仿宋"/>
          <w:b/>
          <w:sz w:val="24"/>
        </w:rPr>
        <w:t>采购方（甲方）：</w:t>
      </w:r>
    </w:p>
    <w:p>
      <w:pPr>
        <w:rPr>
          <w:rFonts w:hint="eastAsia" w:ascii="仿宋" w:hAnsi="仿宋" w:eastAsia="仿宋" w:cs="仿宋"/>
          <w:b/>
          <w:sz w:val="24"/>
        </w:rPr>
      </w:pPr>
      <w:r>
        <w:rPr>
          <w:rFonts w:hint="eastAsia" w:ascii="仿宋" w:hAnsi="仿宋" w:eastAsia="仿宋" w:cs="仿宋"/>
          <w:b/>
          <w:sz w:val="24"/>
        </w:rPr>
        <w:t>地址：</w:t>
      </w:r>
      <w:r>
        <w:rPr>
          <w:rFonts w:hint="eastAsia" w:ascii="仿宋" w:hAnsi="仿宋" w:eastAsia="仿宋" w:cs="仿宋"/>
          <w:b/>
          <w:sz w:val="24"/>
          <w:szCs w:val="24"/>
        </w:rPr>
        <w:t xml:space="preserve">                                        电话：</w:t>
      </w:r>
      <w:r>
        <w:rPr>
          <w:rFonts w:hint="eastAsia" w:ascii="仿宋" w:hAnsi="仿宋" w:eastAsia="仿宋" w:cs="仿宋"/>
          <w:b/>
          <w:sz w:val="24"/>
        </w:rPr>
        <w:t xml:space="preserve">       </w:t>
      </w:r>
    </w:p>
    <w:p>
      <w:pPr>
        <w:rPr>
          <w:rFonts w:hint="eastAsia" w:ascii="仿宋" w:hAnsi="仿宋" w:eastAsia="仿宋" w:cs="仿宋"/>
          <w:b/>
          <w:sz w:val="24"/>
        </w:rPr>
      </w:pPr>
      <w:r>
        <w:rPr>
          <w:rFonts w:hint="eastAsia" w:ascii="仿宋" w:hAnsi="仿宋" w:eastAsia="仿宋" w:cs="仿宋"/>
          <w:b/>
          <w:sz w:val="24"/>
        </w:rPr>
        <w:t>供货方（乙方）：</w:t>
      </w:r>
    </w:p>
    <w:p>
      <w:pPr>
        <w:rPr>
          <w:rFonts w:hint="eastAsia" w:ascii="仿宋" w:hAnsi="仿宋" w:eastAsia="仿宋" w:cs="仿宋"/>
          <w:b/>
          <w:sz w:val="24"/>
        </w:rPr>
      </w:pPr>
      <w:r>
        <w:rPr>
          <w:rFonts w:hint="eastAsia" w:ascii="仿宋" w:hAnsi="仿宋" w:eastAsia="仿宋" w:cs="仿宋"/>
          <w:b/>
          <w:sz w:val="24"/>
        </w:rPr>
        <w:t>地址：                                        电话：</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购销双方依据《中华人民共和国合同法》及其他相关法律法规，经过自愿平等协商，就</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采购达成协议如下：</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第一条</w:t>
      </w:r>
      <w:r>
        <w:rPr>
          <w:rFonts w:hint="eastAsia" w:ascii="仿宋" w:hAnsi="仿宋" w:eastAsia="仿宋" w:cs="仿宋"/>
          <w:color w:val="000000"/>
          <w:sz w:val="24"/>
          <w:szCs w:val="21"/>
        </w:rPr>
        <w:t xml:space="preserve"> 乙方向甲方提供如下产品（详见下表清单：单价为含税含运费）</w:t>
      </w: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842"/>
        <w:gridCol w:w="1276"/>
        <w:gridCol w:w="992"/>
        <w:gridCol w:w="1134"/>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品名</w:t>
            </w:r>
          </w:p>
        </w:tc>
        <w:tc>
          <w:tcPr>
            <w:tcW w:w="184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规格</w:t>
            </w:r>
          </w:p>
        </w:tc>
        <w:tc>
          <w:tcPr>
            <w:tcW w:w="1276"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数量</w:t>
            </w:r>
          </w:p>
        </w:tc>
        <w:tc>
          <w:tcPr>
            <w:tcW w:w="99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单价</w:t>
            </w:r>
          </w:p>
        </w:tc>
        <w:tc>
          <w:tcPr>
            <w:tcW w:w="1134"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金额</w:t>
            </w:r>
          </w:p>
        </w:tc>
        <w:tc>
          <w:tcPr>
            <w:tcW w:w="1043"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spacing w:line="360" w:lineRule="exact"/>
              <w:jc w:val="center"/>
              <w:rPr>
                <w:rFonts w:hint="eastAsia" w:ascii="仿宋" w:hAnsi="仿宋" w:eastAsia="仿宋" w:cs="仿宋"/>
                <w:color w:val="000000"/>
                <w:szCs w:val="21"/>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spacing w:line="360" w:lineRule="exact"/>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ind w:firstLine="360" w:firstLineChars="150"/>
              <w:rPr>
                <w:rFonts w:hint="eastAsia" w:ascii="仿宋" w:hAnsi="仿宋" w:eastAsia="仿宋" w:cs="仿宋"/>
                <w:color w:val="000000"/>
                <w:sz w:val="24"/>
                <w:szCs w:val="21"/>
              </w:rPr>
            </w:pPr>
            <w:r>
              <w:rPr>
                <w:rFonts w:hint="eastAsia" w:ascii="仿宋" w:hAnsi="仿宋" w:eastAsia="仿宋" w:cs="仿宋"/>
                <w:color w:val="000000"/>
                <w:sz w:val="24"/>
                <w:szCs w:val="21"/>
              </w:rPr>
              <w:t>计</w:t>
            </w:r>
          </w:p>
        </w:tc>
        <w:tc>
          <w:tcPr>
            <w:tcW w:w="6287" w:type="dxa"/>
            <w:gridSpan w:val="5"/>
            <w:noWrap w:val="0"/>
            <w:vAlign w:val="top"/>
          </w:tcPr>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             大写人民币：</w:t>
            </w:r>
          </w:p>
        </w:tc>
      </w:tr>
    </w:tbl>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第二条</w:t>
      </w:r>
      <w:r>
        <w:rPr>
          <w:rFonts w:hint="eastAsia" w:ascii="仿宋" w:hAnsi="仿宋" w:eastAsia="仿宋" w:cs="仿宋"/>
          <w:color w:val="000000"/>
          <w:sz w:val="24"/>
          <w:szCs w:val="21"/>
        </w:rPr>
        <w:t xml:space="preserve"> 合同履行地及交货方式：合同履行地在甲方，由乙方</w:t>
      </w:r>
      <w:r>
        <w:rPr>
          <w:rFonts w:hint="eastAsia" w:ascii="仿宋" w:hAnsi="仿宋" w:eastAsia="仿宋" w:cs="仿宋"/>
          <w:color w:val="000000"/>
          <w:spacing w:val="18"/>
          <w:kern w:val="0"/>
          <w:sz w:val="24"/>
          <w:szCs w:val="21"/>
        </w:rPr>
        <w:t>将货物交付至甲方指定地点：</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第三条</w:t>
      </w:r>
      <w:r>
        <w:rPr>
          <w:rFonts w:hint="eastAsia" w:ascii="仿宋" w:hAnsi="仿宋" w:eastAsia="仿宋" w:cs="仿宋"/>
          <w:color w:val="000000"/>
          <w:sz w:val="24"/>
          <w:szCs w:val="21"/>
        </w:rPr>
        <w:t xml:space="preserve"> 运费承担按照以下第</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种方式执行。</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ab/>
      </w:r>
      <w:r>
        <w:rPr>
          <w:rFonts w:hint="eastAsia" w:ascii="仿宋" w:hAnsi="仿宋" w:eastAsia="仿宋" w:cs="仿宋"/>
          <w:color w:val="000000"/>
          <w:sz w:val="24"/>
          <w:szCs w:val="21"/>
        </w:rPr>
        <w:t>（1）甲方承担；               （2）乙方承担。</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第四条</w:t>
      </w:r>
      <w:r>
        <w:rPr>
          <w:rFonts w:hint="eastAsia" w:ascii="仿宋" w:hAnsi="仿宋" w:eastAsia="仿宋" w:cs="仿宋"/>
          <w:color w:val="000000"/>
          <w:sz w:val="24"/>
          <w:szCs w:val="21"/>
        </w:rPr>
        <w:t xml:space="preserve"> 质量标准：依甲方认可的质量标准进行验收，其具体要求：</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乙方保证其所提供的产品为相应品牌下的正宗产品，不属假冒伪劣或不合格商品。乙方对所提供的产品质量负责，对验收不合格品在质量保证期内实行包退包换，承担因质量问题所造成的一切损失，包括但不限于对甲方或第三方造成的财产及人身损害。</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第五条</w:t>
      </w:r>
      <w:r>
        <w:rPr>
          <w:rFonts w:hint="eastAsia" w:ascii="仿宋" w:hAnsi="仿宋" w:eastAsia="仿宋" w:cs="仿宋"/>
          <w:color w:val="000000"/>
          <w:sz w:val="24"/>
          <w:szCs w:val="21"/>
        </w:rPr>
        <w:t xml:space="preserve"> 乙方应当提供主管部门出具的证明文件(或者批准证书)，因文件不全而导致物的所有权不能及时转移给甲方的，乙方应承担违约责任。</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第六条</w:t>
      </w:r>
      <w:r>
        <w:rPr>
          <w:rFonts w:hint="eastAsia" w:ascii="仿宋" w:hAnsi="仿宋" w:eastAsia="仿宋" w:cs="仿宋"/>
          <w:color w:val="000000"/>
          <w:sz w:val="24"/>
          <w:szCs w:val="21"/>
        </w:rPr>
        <w:t xml:space="preserve"> 交货时间：</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第七条</w:t>
      </w:r>
      <w:r>
        <w:rPr>
          <w:rFonts w:hint="eastAsia" w:ascii="仿宋" w:hAnsi="仿宋" w:eastAsia="仿宋" w:cs="仿宋"/>
          <w:color w:val="000000"/>
          <w:sz w:val="24"/>
          <w:szCs w:val="21"/>
        </w:rPr>
        <w:t xml:space="preserve"> 价款支付时间、方式</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7．1付款时间与付款方式，除双方另有书面协议外，应于甲方验收乙方货品合格及出具验收文件后，且经甲方收到乙方发票之日起计算。</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7.2</w:t>
      </w:r>
      <w:r>
        <w:rPr>
          <w:rFonts w:hint="eastAsia" w:ascii="仿宋" w:hAnsi="仿宋" w:eastAsia="仿宋" w:cs="仿宋"/>
          <w:color w:val="000000"/>
          <w:sz w:val="24"/>
          <w:szCs w:val="28"/>
        </w:rPr>
        <w:tab/>
      </w:r>
      <w:r>
        <w:rPr>
          <w:rFonts w:hint="eastAsia" w:ascii="仿宋" w:hAnsi="仿宋" w:eastAsia="仿宋" w:cs="仿宋"/>
          <w:color w:val="000000"/>
          <w:sz w:val="24"/>
          <w:szCs w:val="28"/>
        </w:rPr>
        <w:t>如乙方供货存在不合格品或有短缺，且甲方决定不再接受乙方更换的合格品或补足短缺之货品时，则甲方有权自该笔货款付款中减除相应的不合格品或短少货物的款项</w:t>
      </w:r>
      <w:r>
        <w:rPr>
          <w:rFonts w:hint="eastAsia" w:ascii="仿宋" w:hAnsi="仿宋" w:eastAsia="仿宋" w:cs="仿宋"/>
          <w:color w:val="000000"/>
          <w:sz w:val="24"/>
        </w:rPr>
        <w:t>及因退货而生之运费与相关费用</w:t>
      </w:r>
      <w:r>
        <w:rPr>
          <w:rFonts w:hint="eastAsia" w:ascii="仿宋" w:hAnsi="仿宋" w:eastAsia="仿宋" w:cs="仿宋"/>
          <w:color w:val="000000"/>
          <w:sz w:val="24"/>
          <w:szCs w:val="28"/>
        </w:rPr>
        <w:t>。</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7.3 乙方违反本合同任一约定时，甲方有权在应付货款中扣除乙方因违约而应承担的所有费用与违约金及赔偿金额。</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7.4</w:t>
      </w:r>
      <w:r>
        <w:rPr>
          <w:rFonts w:hint="eastAsia" w:ascii="仿宋" w:hAnsi="仿宋" w:eastAsia="仿宋" w:cs="仿宋"/>
          <w:color w:val="000000"/>
          <w:sz w:val="24"/>
          <w:szCs w:val="28"/>
        </w:rPr>
        <w:t>付款时间和付款方式：</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7.5乙方在应收到期的当期货款前三个工作日内事先向甲方开具正规税务发票，若逾期提供发票则甲方有权迟延或拒绝支付当期货款并不存担任何违约责任。</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第八条</w:t>
      </w:r>
      <w:r>
        <w:rPr>
          <w:rFonts w:hint="eastAsia" w:ascii="仿宋" w:hAnsi="仿宋" w:eastAsia="仿宋" w:cs="仿宋"/>
          <w:color w:val="000000"/>
          <w:sz w:val="24"/>
          <w:szCs w:val="21"/>
        </w:rPr>
        <w:t xml:space="preserve"> 变更和解除合同</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rPr>
        <w:t>8.1乙方不得将本合约全部或部分权利或义务移转予第三人。</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8.2</w:t>
      </w:r>
      <w:r>
        <w:rPr>
          <w:rFonts w:hint="eastAsia" w:ascii="仿宋" w:hAnsi="仿宋" w:eastAsia="仿宋" w:cs="仿宋"/>
          <w:color w:val="000000"/>
          <w:sz w:val="24"/>
          <w:szCs w:val="21"/>
          <w:u w:val="single"/>
        </w:rPr>
        <w:t xml:space="preserve">   无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第九条</w:t>
      </w:r>
      <w:r>
        <w:rPr>
          <w:rFonts w:hint="eastAsia" w:ascii="仿宋" w:hAnsi="仿宋" w:eastAsia="仿宋" w:cs="仿宋"/>
          <w:color w:val="000000"/>
          <w:sz w:val="24"/>
          <w:szCs w:val="21"/>
        </w:rPr>
        <w:t xml:space="preserve"> 不可抗力</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第十条</w:t>
      </w:r>
      <w:r>
        <w:rPr>
          <w:rFonts w:hint="eastAsia" w:ascii="仿宋" w:hAnsi="仿宋" w:eastAsia="仿宋" w:cs="仿宋"/>
          <w:color w:val="000000"/>
          <w:sz w:val="24"/>
          <w:szCs w:val="21"/>
        </w:rPr>
        <w:t xml:space="preserve"> 违约责任</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甲方违约责任：若甲方未按约定付款，每逾期一日，按未付款金额以银行同期贷款利率计算违约金。</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乙方违约责任：</w:t>
      </w:r>
    </w:p>
    <w:p>
      <w:pPr>
        <w:spacing w:line="360" w:lineRule="exact"/>
        <w:rPr>
          <w:rFonts w:hint="eastAsia" w:ascii="仿宋" w:hAnsi="仿宋" w:eastAsia="仿宋" w:cs="仿宋"/>
          <w:color w:val="000000"/>
          <w:kern w:val="0"/>
          <w:sz w:val="24"/>
        </w:rPr>
      </w:pPr>
      <w:r>
        <w:rPr>
          <w:rFonts w:hint="eastAsia" w:ascii="仿宋" w:hAnsi="仿宋" w:eastAsia="仿宋" w:cs="仿宋"/>
          <w:color w:val="000000"/>
          <w:sz w:val="24"/>
          <w:szCs w:val="21"/>
        </w:rPr>
        <w:t>1、</w:t>
      </w:r>
      <w:r>
        <w:rPr>
          <w:rFonts w:hint="eastAsia" w:ascii="仿宋" w:hAnsi="仿宋" w:eastAsia="仿宋" w:cs="仿宋"/>
          <w:color w:val="000000"/>
          <w:kern w:val="0"/>
          <w:sz w:val="24"/>
        </w:rPr>
        <w:t>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2、如乙方违反本合同或订单所要求之质量，致所提供之货物有瑕疵或其它质量问题时，甲方除得依本合同相关条款主张权利外，并有权要求乙方支付该笔货品订单合同总价的百分之</w:t>
      </w:r>
      <w:r>
        <w:rPr>
          <w:rFonts w:hint="eastAsia" w:ascii="仿宋" w:hAnsi="仿宋" w:eastAsia="仿宋" w:cs="仿宋"/>
          <w:color w:val="000000"/>
          <w:sz w:val="24"/>
          <w:szCs w:val="28"/>
          <w:u w:val="single"/>
        </w:rPr>
        <w:t>20%</w:t>
      </w:r>
      <w:r>
        <w:rPr>
          <w:rFonts w:hint="eastAsia" w:ascii="仿宋" w:hAnsi="仿宋" w:eastAsia="仿宋" w:cs="仿宋"/>
          <w:color w:val="000000"/>
          <w:sz w:val="24"/>
          <w:szCs w:val="28"/>
        </w:rPr>
        <w:t>的违约金。</w:t>
      </w:r>
    </w:p>
    <w:p>
      <w:pPr>
        <w:spacing w:line="3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3、因产品质量造成甲方损失，甲方有权向乙方索赔损失包括不限于检验费、换货的运费、仓储费、装卸费、保险费及诉讼中的律师费等。      </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4、乙方逾期交付发票的，按照逾期未交付发票的金额的1%向甲方支付违约金。</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5、乙方逾期交货经甲方书面通知后仍迟延或拒绝，甲方有权单方面解除本合同并赔偿甲方所遭受损失，解除合同通知心以甲方书面为准。</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第十一条</w:t>
      </w:r>
      <w:r>
        <w:rPr>
          <w:rFonts w:hint="eastAsia" w:ascii="仿宋" w:hAnsi="仿宋" w:eastAsia="仿宋" w:cs="仿宋"/>
          <w:color w:val="000000"/>
          <w:sz w:val="24"/>
          <w:szCs w:val="21"/>
        </w:rPr>
        <w:t xml:space="preserve"> 争端解决</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甲乙双方因合同的解释或履行发生争议时，首先应通过友好协商解决；协商不成的，任何一方应向甲方所在地有管辖权的人民法院提请诉讼。</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第十二条</w:t>
      </w:r>
      <w:r>
        <w:rPr>
          <w:rFonts w:hint="eastAsia" w:ascii="仿宋" w:hAnsi="仿宋" w:eastAsia="仿宋" w:cs="仿宋"/>
          <w:color w:val="000000"/>
          <w:sz w:val="24"/>
          <w:szCs w:val="21"/>
        </w:rPr>
        <w:t xml:space="preserve"> 本合同自双方当事人签字盖章后生效。</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第十三条</w:t>
      </w:r>
      <w:r>
        <w:rPr>
          <w:rFonts w:hint="eastAsia" w:ascii="仿宋" w:hAnsi="仿宋" w:eastAsia="仿宋" w:cs="仿宋"/>
          <w:color w:val="000000"/>
          <w:sz w:val="24"/>
          <w:szCs w:val="21"/>
        </w:rPr>
        <w:t xml:space="preserve"> 本合同一式四份，甲乙双方各执两份，具有同等效力。</w:t>
      </w:r>
    </w:p>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第十四条</w:t>
      </w:r>
      <w:r>
        <w:rPr>
          <w:rFonts w:hint="eastAsia" w:ascii="仿宋" w:hAnsi="仿宋" w:eastAsia="仿宋" w:cs="仿宋"/>
          <w:color w:val="000000"/>
          <w:sz w:val="24"/>
          <w:szCs w:val="21"/>
        </w:rPr>
        <w:t xml:space="preserve"> 本合同未尽事宜按照双方协商，另立补充协议，补充协议与本合同具有同等法律效力。</w:t>
      </w:r>
    </w:p>
    <w:p>
      <w:pPr>
        <w:spacing w:line="360" w:lineRule="exact"/>
        <w:rPr>
          <w:rFonts w:hint="eastAsia" w:ascii="仿宋" w:hAnsi="仿宋" w:eastAsia="仿宋" w:cs="仿宋"/>
          <w:sz w:val="24"/>
        </w:rPr>
      </w:pPr>
      <w:r>
        <w:rPr>
          <w:rFonts w:hint="eastAsia" w:ascii="仿宋" w:hAnsi="仿宋" w:eastAsia="仿宋" w:cs="仿宋"/>
          <w:b/>
          <w:bCs/>
          <w:color w:val="000000"/>
          <w:sz w:val="24"/>
          <w:szCs w:val="21"/>
        </w:rPr>
        <w:t>第十五条</w:t>
      </w:r>
      <w:r>
        <w:rPr>
          <w:rFonts w:hint="eastAsia" w:ascii="仿宋" w:hAnsi="仿宋" w:eastAsia="仿宋" w:cs="仿宋"/>
          <w:color w:val="000000"/>
          <w:sz w:val="24"/>
          <w:szCs w:val="21"/>
        </w:rPr>
        <w:t xml:space="preserve"> 其他约定事项：</w:t>
      </w:r>
      <w:r>
        <w:rPr>
          <w:rFonts w:hint="eastAsia" w:ascii="仿宋" w:hAnsi="仿宋" w:eastAsia="仿宋" w:cs="仿宋"/>
          <w:color w:val="000000"/>
          <w:sz w:val="24"/>
          <w:szCs w:val="21"/>
          <w:u w:val="single"/>
        </w:rPr>
        <w:t xml:space="preserve">                                                                                </w:t>
      </w:r>
    </w:p>
    <w:p>
      <w:pPr>
        <w:rPr>
          <w:rFonts w:hint="eastAsia" w:ascii="仿宋" w:hAnsi="仿宋" w:eastAsia="仿宋" w:cs="仿宋"/>
          <w:sz w:val="24"/>
        </w:rPr>
      </w:pPr>
      <w:r>
        <w:rPr>
          <w:rFonts w:hint="eastAsia" w:ascii="仿宋" w:hAnsi="仿宋" w:eastAsia="仿宋" w:cs="仿宋"/>
          <w:sz w:val="24"/>
        </w:rPr>
        <w:t>甲方：                                乙方：</w:t>
      </w:r>
    </w:p>
    <w:p>
      <w:pPr>
        <w:rPr>
          <w:rFonts w:hint="eastAsia" w:ascii="仿宋" w:hAnsi="仿宋" w:eastAsia="仿宋" w:cs="仿宋"/>
          <w:sz w:val="24"/>
        </w:rPr>
      </w:pPr>
      <w:r>
        <w:rPr>
          <w:rFonts w:hint="eastAsia" w:ascii="仿宋" w:hAnsi="仿宋" w:eastAsia="仿宋" w:cs="仿宋"/>
          <w:sz w:val="24"/>
        </w:rPr>
        <w:t>授权代表人（签字）：                   授权代表人（签字）：</w:t>
      </w:r>
    </w:p>
    <w:p>
      <w:pPr>
        <w:rPr>
          <w:rFonts w:hint="eastAsia" w:ascii="仿宋" w:hAnsi="仿宋" w:eastAsia="仿宋" w:cs="仿宋"/>
          <w:sz w:val="24"/>
        </w:rPr>
      </w:pPr>
      <w:r>
        <w:rPr>
          <w:rFonts w:hint="eastAsia" w:ascii="仿宋" w:hAnsi="仿宋" w:eastAsia="仿宋" w:cs="仿宋"/>
          <w:sz w:val="24"/>
        </w:rPr>
        <w:t>税号：                                税号：</w:t>
      </w:r>
    </w:p>
    <w:p>
      <w:pPr>
        <w:rPr>
          <w:rFonts w:hint="eastAsia" w:ascii="仿宋" w:hAnsi="仿宋" w:eastAsia="仿宋" w:cs="仿宋"/>
          <w:sz w:val="24"/>
        </w:rPr>
      </w:pPr>
      <w:r>
        <w:rPr>
          <w:rFonts w:hint="eastAsia" w:ascii="仿宋" w:hAnsi="仿宋" w:eastAsia="仿宋" w:cs="仿宋"/>
          <w:sz w:val="24"/>
        </w:rPr>
        <w:t>开户行：                              开户行：</w:t>
      </w:r>
    </w:p>
    <w:p>
      <w:pPr>
        <w:rPr>
          <w:rFonts w:hint="eastAsia" w:ascii="仿宋" w:hAnsi="仿宋" w:eastAsia="仿宋" w:cs="仿宋"/>
          <w:sz w:val="24"/>
        </w:rPr>
      </w:pPr>
      <w:r>
        <w:rPr>
          <w:rFonts w:hint="eastAsia" w:ascii="仿宋" w:hAnsi="仿宋" w:eastAsia="仿宋" w:cs="仿宋"/>
          <w:sz w:val="24"/>
        </w:rPr>
        <w:t>账号：                                账号：</w:t>
      </w:r>
    </w:p>
    <w:p>
      <w:pPr>
        <w:rPr>
          <w:rFonts w:hint="eastAsia" w:ascii="仿宋" w:hAnsi="仿宋" w:eastAsia="仿宋" w:cs="仿宋"/>
          <w:sz w:val="24"/>
        </w:rPr>
      </w:pPr>
      <w:r>
        <w:rPr>
          <w:rFonts w:hint="eastAsia" w:ascii="仿宋" w:hAnsi="仿宋" w:eastAsia="仿宋" w:cs="仿宋"/>
          <w:sz w:val="24"/>
        </w:rPr>
        <w:t>日期：   年  月  日                     日期：   年  月  日</w:t>
      </w:r>
    </w:p>
    <w:p>
      <w:pPr>
        <w:tabs>
          <w:tab w:val="left" w:pos="794"/>
        </w:tabs>
        <w:rPr>
          <w:rFonts w:hint="eastAsia"/>
          <w:lang w:eastAsia="zh-CN"/>
        </w:rPr>
      </w:pPr>
    </w:p>
    <w:p>
      <w:pPr>
        <w:pStyle w:val="20"/>
        <w:jc w:val="center"/>
        <w:rPr>
          <w:rFonts w:hint="eastAsia" w:ascii="仿宋" w:hAnsi="仿宋" w:eastAsia="仿宋" w:cs="仿宋"/>
        </w:rPr>
      </w:pPr>
      <w:bookmarkStart w:id="6" w:name="_Toc8991"/>
      <w:bookmarkStart w:id="7" w:name="_Toc6627"/>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20"/>
        <w:jc w:val="center"/>
        <w:rPr>
          <w:rFonts w:hint="eastAsia" w:ascii="仿宋" w:hAnsi="仿宋" w:eastAsia="仿宋" w:cs="仿宋"/>
          <w:lang w:eastAsia="zh-CN"/>
        </w:rPr>
      </w:pPr>
      <w:bookmarkStart w:id="8" w:name="_Toc14110"/>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胥城食品公司月饼盒采购项目</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胥城食品公司月饼盒采购项目</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胥城食品公司月饼盒采购项目</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2020</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2020</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胥城食品公司月饼盒采购项目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3114D5"/>
    <w:multiLevelType w:val="singleLevel"/>
    <w:tmpl w:val="1A3114D5"/>
    <w:lvl w:ilvl="0" w:tentative="0">
      <w:start w:val="4"/>
      <w:numFmt w:val="chineseCounting"/>
      <w:suff w:val="nothing"/>
      <w:lvlText w:val="第%1章、"/>
      <w:lvlJc w:val="left"/>
      <w:rPr>
        <w:rFonts w:hint="eastAsia"/>
      </w:rPr>
    </w:lvl>
  </w:abstractNum>
  <w:abstractNum w:abstractNumId="2">
    <w:nsid w:val="1A4FBD14"/>
    <w:multiLevelType w:val="singleLevel"/>
    <w:tmpl w:val="1A4FBD14"/>
    <w:lvl w:ilvl="0" w:tentative="0">
      <w:start w:val="1"/>
      <w:numFmt w:val="decimalEnclosedCircleChinese"/>
      <w:suff w:val="nothing"/>
      <w:lvlText w:val="%1、"/>
      <w:lvlJc w:val="left"/>
      <w:rPr>
        <w:rFonts w:hint="eastAsia"/>
      </w:rPr>
    </w:lvl>
  </w:abstractNum>
  <w:abstractNum w:abstractNumId="3">
    <w:nsid w:val="5A20AA93"/>
    <w:multiLevelType w:val="singleLevel"/>
    <w:tmpl w:val="5A20AA93"/>
    <w:lvl w:ilvl="0" w:tentative="0">
      <w:start w:val="2"/>
      <w:numFmt w:val="chineseCounting"/>
      <w:suff w:val="nothing"/>
      <w:lvlText w:val="第%1章"/>
      <w:lvlJc w:val="left"/>
    </w:lvl>
  </w:abstractNum>
  <w:abstractNum w:abstractNumId="4">
    <w:nsid w:val="7A1F5167"/>
    <w:multiLevelType w:val="multilevel"/>
    <w:tmpl w:val="7A1F5167"/>
    <w:lvl w:ilvl="0" w:tentative="0">
      <w:start w:val="1"/>
      <w:numFmt w:val="decimal"/>
      <w:pStyle w:val="41"/>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7762E"/>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1DE5"/>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B5BD1"/>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3F3AC2"/>
    <w:rsid w:val="03B46ED9"/>
    <w:rsid w:val="03C160CD"/>
    <w:rsid w:val="03C42A1C"/>
    <w:rsid w:val="042B7828"/>
    <w:rsid w:val="04350A0D"/>
    <w:rsid w:val="047E4028"/>
    <w:rsid w:val="04923962"/>
    <w:rsid w:val="049669A0"/>
    <w:rsid w:val="04BA2A6D"/>
    <w:rsid w:val="04EF3402"/>
    <w:rsid w:val="053061FF"/>
    <w:rsid w:val="05A02791"/>
    <w:rsid w:val="05D66C49"/>
    <w:rsid w:val="05E02607"/>
    <w:rsid w:val="06275E82"/>
    <w:rsid w:val="0636356B"/>
    <w:rsid w:val="06387885"/>
    <w:rsid w:val="06A44178"/>
    <w:rsid w:val="06AC47FD"/>
    <w:rsid w:val="06BF642B"/>
    <w:rsid w:val="07463C80"/>
    <w:rsid w:val="076B32D4"/>
    <w:rsid w:val="07CD30E4"/>
    <w:rsid w:val="07D23ECC"/>
    <w:rsid w:val="080E4D0E"/>
    <w:rsid w:val="082F0254"/>
    <w:rsid w:val="0856062D"/>
    <w:rsid w:val="091D3F5E"/>
    <w:rsid w:val="094F412C"/>
    <w:rsid w:val="098D0F06"/>
    <w:rsid w:val="099A02B9"/>
    <w:rsid w:val="09AE3F0E"/>
    <w:rsid w:val="09EA5B12"/>
    <w:rsid w:val="09F424AA"/>
    <w:rsid w:val="0A360457"/>
    <w:rsid w:val="0A7C3DA6"/>
    <w:rsid w:val="0B4E5B30"/>
    <w:rsid w:val="0B624E01"/>
    <w:rsid w:val="0C4C4BC4"/>
    <w:rsid w:val="0CCC038B"/>
    <w:rsid w:val="0CF35A6D"/>
    <w:rsid w:val="0D741A78"/>
    <w:rsid w:val="0D87650A"/>
    <w:rsid w:val="0D9F761A"/>
    <w:rsid w:val="0DD643AE"/>
    <w:rsid w:val="0E0541C1"/>
    <w:rsid w:val="0E1B31AF"/>
    <w:rsid w:val="0E620C08"/>
    <w:rsid w:val="0E7A670E"/>
    <w:rsid w:val="0EA07550"/>
    <w:rsid w:val="0EEC098B"/>
    <w:rsid w:val="0F0D584D"/>
    <w:rsid w:val="0F4E0335"/>
    <w:rsid w:val="0F863BE2"/>
    <w:rsid w:val="0FD445F4"/>
    <w:rsid w:val="100911C3"/>
    <w:rsid w:val="101E2384"/>
    <w:rsid w:val="105630BE"/>
    <w:rsid w:val="116F0D88"/>
    <w:rsid w:val="11724B72"/>
    <w:rsid w:val="119D18BB"/>
    <w:rsid w:val="119F47A0"/>
    <w:rsid w:val="11A95A00"/>
    <w:rsid w:val="11C77DB8"/>
    <w:rsid w:val="11D90CB3"/>
    <w:rsid w:val="11FE3433"/>
    <w:rsid w:val="12632863"/>
    <w:rsid w:val="12C80D7F"/>
    <w:rsid w:val="130C13F7"/>
    <w:rsid w:val="132E202D"/>
    <w:rsid w:val="13876628"/>
    <w:rsid w:val="13AD5D4B"/>
    <w:rsid w:val="13B30401"/>
    <w:rsid w:val="14105332"/>
    <w:rsid w:val="14291F78"/>
    <w:rsid w:val="14E651E0"/>
    <w:rsid w:val="14F733F0"/>
    <w:rsid w:val="14FA4BBC"/>
    <w:rsid w:val="15A62FA2"/>
    <w:rsid w:val="16755A32"/>
    <w:rsid w:val="169B2570"/>
    <w:rsid w:val="171668FF"/>
    <w:rsid w:val="17291035"/>
    <w:rsid w:val="173C598B"/>
    <w:rsid w:val="17846ED2"/>
    <w:rsid w:val="178601D9"/>
    <w:rsid w:val="178F1883"/>
    <w:rsid w:val="17B950B8"/>
    <w:rsid w:val="17FB4C11"/>
    <w:rsid w:val="18056EF7"/>
    <w:rsid w:val="185446B4"/>
    <w:rsid w:val="18D0002E"/>
    <w:rsid w:val="18DC484F"/>
    <w:rsid w:val="19AD68D9"/>
    <w:rsid w:val="19E508E8"/>
    <w:rsid w:val="1A0C52D9"/>
    <w:rsid w:val="1A267315"/>
    <w:rsid w:val="1AF72300"/>
    <w:rsid w:val="1AFC0475"/>
    <w:rsid w:val="1BC570E4"/>
    <w:rsid w:val="1BDC1168"/>
    <w:rsid w:val="1BFA3660"/>
    <w:rsid w:val="1C58631E"/>
    <w:rsid w:val="1C5F36CE"/>
    <w:rsid w:val="1C850908"/>
    <w:rsid w:val="1CB10A7D"/>
    <w:rsid w:val="1CFF670B"/>
    <w:rsid w:val="1D7A2005"/>
    <w:rsid w:val="1D921633"/>
    <w:rsid w:val="1D9305D0"/>
    <w:rsid w:val="1DAA732B"/>
    <w:rsid w:val="1DB45EFF"/>
    <w:rsid w:val="1DCE40B2"/>
    <w:rsid w:val="1E4C161E"/>
    <w:rsid w:val="1EE62766"/>
    <w:rsid w:val="1EF32E3E"/>
    <w:rsid w:val="1F6024E0"/>
    <w:rsid w:val="207E7F83"/>
    <w:rsid w:val="20C10BA7"/>
    <w:rsid w:val="20E46263"/>
    <w:rsid w:val="210F7AF4"/>
    <w:rsid w:val="21892F84"/>
    <w:rsid w:val="218C3E40"/>
    <w:rsid w:val="21A4008A"/>
    <w:rsid w:val="21D449AB"/>
    <w:rsid w:val="22030B0F"/>
    <w:rsid w:val="22206576"/>
    <w:rsid w:val="228C7812"/>
    <w:rsid w:val="23B12644"/>
    <w:rsid w:val="24716B97"/>
    <w:rsid w:val="2490627B"/>
    <w:rsid w:val="25301B87"/>
    <w:rsid w:val="25A36702"/>
    <w:rsid w:val="25E34D3F"/>
    <w:rsid w:val="2661073E"/>
    <w:rsid w:val="268073D4"/>
    <w:rsid w:val="269C3786"/>
    <w:rsid w:val="26AA41CB"/>
    <w:rsid w:val="26B902EA"/>
    <w:rsid w:val="26F040DE"/>
    <w:rsid w:val="271C17A7"/>
    <w:rsid w:val="275C50D1"/>
    <w:rsid w:val="27BB268D"/>
    <w:rsid w:val="27DE63C3"/>
    <w:rsid w:val="27EB7D12"/>
    <w:rsid w:val="281B66B2"/>
    <w:rsid w:val="28286E54"/>
    <w:rsid w:val="28367BE4"/>
    <w:rsid w:val="2898525C"/>
    <w:rsid w:val="28C46E10"/>
    <w:rsid w:val="29246921"/>
    <w:rsid w:val="2942183D"/>
    <w:rsid w:val="29BF3475"/>
    <w:rsid w:val="2A2969F4"/>
    <w:rsid w:val="2A541F38"/>
    <w:rsid w:val="2A56475E"/>
    <w:rsid w:val="2A9030DF"/>
    <w:rsid w:val="2AD14C79"/>
    <w:rsid w:val="2B342EB3"/>
    <w:rsid w:val="2B683A70"/>
    <w:rsid w:val="2B88597B"/>
    <w:rsid w:val="2C3B11CB"/>
    <w:rsid w:val="2C7B2CA8"/>
    <w:rsid w:val="2C91378A"/>
    <w:rsid w:val="2CA4188C"/>
    <w:rsid w:val="2CAC0903"/>
    <w:rsid w:val="2CDF2662"/>
    <w:rsid w:val="2CE22EAC"/>
    <w:rsid w:val="2CEA0673"/>
    <w:rsid w:val="2CF97D51"/>
    <w:rsid w:val="2D5C1B84"/>
    <w:rsid w:val="2D9B09E0"/>
    <w:rsid w:val="2DCC337E"/>
    <w:rsid w:val="2E1D5AD2"/>
    <w:rsid w:val="2E2267E9"/>
    <w:rsid w:val="2E367DBC"/>
    <w:rsid w:val="2E8E6225"/>
    <w:rsid w:val="2E9500F1"/>
    <w:rsid w:val="2F344DC8"/>
    <w:rsid w:val="2F51066A"/>
    <w:rsid w:val="2F8E0489"/>
    <w:rsid w:val="30695537"/>
    <w:rsid w:val="30AB19EF"/>
    <w:rsid w:val="317D687A"/>
    <w:rsid w:val="31906EAD"/>
    <w:rsid w:val="31B276A4"/>
    <w:rsid w:val="31D25200"/>
    <w:rsid w:val="32070663"/>
    <w:rsid w:val="32125E52"/>
    <w:rsid w:val="32701839"/>
    <w:rsid w:val="32C73A5B"/>
    <w:rsid w:val="32FC67D3"/>
    <w:rsid w:val="33694E96"/>
    <w:rsid w:val="33697DC8"/>
    <w:rsid w:val="3370332B"/>
    <w:rsid w:val="337F0129"/>
    <w:rsid w:val="338E6DE1"/>
    <w:rsid w:val="33CC1E01"/>
    <w:rsid w:val="34313157"/>
    <w:rsid w:val="345A3CFF"/>
    <w:rsid w:val="346C7E24"/>
    <w:rsid w:val="34AA1F07"/>
    <w:rsid w:val="34E66245"/>
    <w:rsid w:val="34E76831"/>
    <w:rsid w:val="35AA136C"/>
    <w:rsid w:val="35CB0F7E"/>
    <w:rsid w:val="35DD1ABA"/>
    <w:rsid w:val="35EC631A"/>
    <w:rsid w:val="365D72CC"/>
    <w:rsid w:val="36637E92"/>
    <w:rsid w:val="36B73C9E"/>
    <w:rsid w:val="370E4363"/>
    <w:rsid w:val="3732203A"/>
    <w:rsid w:val="375F2FDB"/>
    <w:rsid w:val="37AA5893"/>
    <w:rsid w:val="37DF4DA7"/>
    <w:rsid w:val="37EC067D"/>
    <w:rsid w:val="37F56C63"/>
    <w:rsid w:val="383E30B1"/>
    <w:rsid w:val="38B45619"/>
    <w:rsid w:val="38C37DE2"/>
    <w:rsid w:val="38F14191"/>
    <w:rsid w:val="39124837"/>
    <w:rsid w:val="3A537EB4"/>
    <w:rsid w:val="3B4746CE"/>
    <w:rsid w:val="3B812076"/>
    <w:rsid w:val="3BD151ED"/>
    <w:rsid w:val="3BD21407"/>
    <w:rsid w:val="3C5052F4"/>
    <w:rsid w:val="3C731B93"/>
    <w:rsid w:val="3CD6440B"/>
    <w:rsid w:val="3D584B2F"/>
    <w:rsid w:val="3D607ACA"/>
    <w:rsid w:val="3D6A52C0"/>
    <w:rsid w:val="3D7B4D40"/>
    <w:rsid w:val="3D9C350E"/>
    <w:rsid w:val="3DBD109D"/>
    <w:rsid w:val="3E097D7B"/>
    <w:rsid w:val="3E7A3D4A"/>
    <w:rsid w:val="3EFC552A"/>
    <w:rsid w:val="3F4D7D97"/>
    <w:rsid w:val="3F701693"/>
    <w:rsid w:val="3FA33AD8"/>
    <w:rsid w:val="3FE810FD"/>
    <w:rsid w:val="403D46E0"/>
    <w:rsid w:val="4073181B"/>
    <w:rsid w:val="409D363B"/>
    <w:rsid w:val="41103E9B"/>
    <w:rsid w:val="41F07EC1"/>
    <w:rsid w:val="41F1491B"/>
    <w:rsid w:val="422C2F00"/>
    <w:rsid w:val="43110884"/>
    <w:rsid w:val="43300B44"/>
    <w:rsid w:val="4375684E"/>
    <w:rsid w:val="439F7BE7"/>
    <w:rsid w:val="43AA0AE4"/>
    <w:rsid w:val="43F21023"/>
    <w:rsid w:val="442B216A"/>
    <w:rsid w:val="4480471D"/>
    <w:rsid w:val="449017FE"/>
    <w:rsid w:val="45424C4A"/>
    <w:rsid w:val="456C74AC"/>
    <w:rsid w:val="45875DE0"/>
    <w:rsid w:val="46337FCA"/>
    <w:rsid w:val="46831EA8"/>
    <w:rsid w:val="46D451E1"/>
    <w:rsid w:val="46E94485"/>
    <w:rsid w:val="47792559"/>
    <w:rsid w:val="48557862"/>
    <w:rsid w:val="48893B70"/>
    <w:rsid w:val="48C377A6"/>
    <w:rsid w:val="49074C73"/>
    <w:rsid w:val="490C14AE"/>
    <w:rsid w:val="492A4491"/>
    <w:rsid w:val="498656A9"/>
    <w:rsid w:val="498A51A5"/>
    <w:rsid w:val="49907691"/>
    <w:rsid w:val="49B21406"/>
    <w:rsid w:val="49CD4389"/>
    <w:rsid w:val="49E44009"/>
    <w:rsid w:val="49E63B4B"/>
    <w:rsid w:val="49EE3483"/>
    <w:rsid w:val="49F477ED"/>
    <w:rsid w:val="49FB0086"/>
    <w:rsid w:val="4AA00BE0"/>
    <w:rsid w:val="4ACC77BD"/>
    <w:rsid w:val="4AF90EFC"/>
    <w:rsid w:val="4B211C49"/>
    <w:rsid w:val="4B600068"/>
    <w:rsid w:val="4BA05CCB"/>
    <w:rsid w:val="4BE0110F"/>
    <w:rsid w:val="4C1079C5"/>
    <w:rsid w:val="4C2B6F87"/>
    <w:rsid w:val="4C704F30"/>
    <w:rsid w:val="4CDB63CC"/>
    <w:rsid w:val="4D034B13"/>
    <w:rsid w:val="4D5166E5"/>
    <w:rsid w:val="4D98605B"/>
    <w:rsid w:val="4D9B04EA"/>
    <w:rsid w:val="4DE034F7"/>
    <w:rsid w:val="4E9D154C"/>
    <w:rsid w:val="4ECE20AE"/>
    <w:rsid w:val="4EDD4EA7"/>
    <w:rsid w:val="4EF61CFF"/>
    <w:rsid w:val="4F5E27E2"/>
    <w:rsid w:val="4FD5143E"/>
    <w:rsid w:val="4FFF6617"/>
    <w:rsid w:val="50502A0C"/>
    <w:rsid w:val="509E4071"/>
    <w:rsid w:val="50D24405"/>
    <w:rsid w:val="50FF30BE"/>
    <w:rsid w:val="51007A44"/>
    <w:rsid w:val="510D4F58"/>
    <w:rsid w:val="518C2C03"/>
    <w:rsid w:val="518D318F"/>
    <w:rsid w:val="52147DB4"/>
    <w:rsid w:val="5251274D"/>
    <w:rsid w:val="52722A63"/>
    <w:rsid w:val="530071CC"/>
    <w:rsid w:val="53157485"/>
    <w:rsid w:val="5319393D"/>
    <w:rsid w:val="532C0C91"/>
    <w:rsid w:val="53CE15C0"/>
    <w:rsid w:val="53DD5FC6"/>
    <w:rsid w:val="543A2922"/>
    <w:rsid w:val="545E0EEC"/>
    <w:rsid w:val="54847773"/>
    <w:rsid w:val="548D1494"/>
    <w:rsid w:val="54B866C9"/>
    <w:rsid w:val="54FA1CA7"/>
    <w:rsid w:val="556870FD"/>
    <w:rsid w:val="558619EB"/>
    <w:rsid w:val="55887DF1"/>
    <w:rsid w:val="55973D2A"/>
    <w:rsid w:val="559C7E5C"/>
    <w:rsid w:val="55A10B51"/>
    <w:rsid w:val="55DF25A4"/>
    <w:rsid w:val="560376AF"/>
    <w:rsid w:val="571B6EA4"/>
    <w:rsid w:val="57D14C02"/>
    <w:rsid w:val="57FD4FE7"/>
    <w:rsid w:val="580F7DC7"/>
    <w:rsid w:val="586C64CB"/>
    <w:rsid w:val="589C290E"/>
    <w:rsid w:val="58F91972"/>
    <w:rsid w:val="59752E25"/>
    <w:rsid w:val="59817CCE"/>
    <w:rsid w:val="598A5175"/>
    <w:rsid w:val="599256CF"/>
    <w:rsid w:val="599A3C33"/>
    <w:rsid w:val="59A82311"/>
    <w:rsid w:val="5A236EC2"/>
    <w:rsid w:val="5A43340D"/>
    <w:rsid w:val="5A450F6B"/>
    <w:rsid w:val="5A613734"/>
    <w:rsid w:val="5A6E519E"/>
    <w:rsid w:val="5B873401"/>
    <w:rsid w:val="5B8A3610"/>
    <w:rsid w:val="5BAF3B52"/>
    <w:rsid w:val="5BC0351F"/>
    <w:rsid w:val="5C625009"/>
    <w:rsid w:val="5C745E91"/>
    <w:rsid w:val="5C964D3C"/>
    <w:rsid w:val="5CBF1249"/>
    <w:rsid w:val="5CEB2E23"/>
    <w:rsid w:val="5D070CE7"/>
    <w:rsid w:val="5D5274A2"/>
    <w:rsid w:val="5DB32FFD"/>
    <w:rsid w:val="5DB837FB"/>
    <w:rsid w:val="5DD54524"/>
    <w:rsid w:val="5E60516F"/>
    <w:rsid w:val="5E653379"/>
    <w:rsid w:val="5E8F4F42"/>
    <w:rsid w:val="5E95021A"/>
    <w:rsid w:val="5EA66F51"/>
    <w:rsid w:val="5F213563"/>
    <w:rsid w:val="5F53513A"/>
    <w:rsid w:val="5F742377"/>
    <w:rsid w:val="5F9B1D33"/>
    <w:rsid w:val="601F2EA1"/>
    <w:rsid w:val="60552271"/>
    <w:rsid w:val="607B3751"/>
    <w:rsid w:val="609B01A1"/>
    <w:rsid w:val="60D26CFA"/>
    <w:rsid w:val="60E046A2"/>
    <w:rsid w:val="6104408E"/>
    <w:rsid w:val="612239EA"/>
    <w:rsid w:val="616B6389"/>
    <w:rsid w:val="6180007C"/>
    <w:rsid w:val="61C071FF"/>
    <w:rsid w:val="61D51E88"/>
    <w:rsid w:val="61EB5F5B"/>
    <w:rsid w:val="627231E0"/>
    <w:rsid w:val="6341693F"/>
    <w:rsid w:val="63474995"/>
    <w:rsid w:val="636043CA"/>
    <w:rsid w:val="637827B5"/>
    <w:rsid w:val="63C40DE8"/>
    <w:rsid w:val="63EF5947"/>
    <w:rsid w:val="641607BE"/>
    <w:rsid w:val="64252099"/>
    <w:rsid w:val="642E083B"/>
    <w:rsid w:val="642E478D"/>
    <w:rsid w:val="64725D11"/>
    <w:rsid w:val="64CB2C98"/>
    <w:rsid w:val="64D17D81"/>
    <w:rsid w:val="64E22FFD"/>
    <w:rsid w:val="659A7E17"/>
    <w:rsid w:val="65F57153"/>
    <w:rsid w:val="664E76E7"/>
    <w:rsid w:val="665E0C30"/>
    <w:rsid w:val="669303D9"/>
    <w:rsid w:val="669B4DE4"/>
    <w:rsid w:val="66B172B2"/>
    <w:rsid w:val="67077ED9"/>
    <w:rsid w:val="67162867"/>
    <w:rsid w:val="67936A17"/>
    <w:rsid w:val="67950753"/>
    <w:rsid w:val="67A13562"/>
    <w:rsid w:val="67CE72FC"/>
    <w:rsid w:val="67E02E9E"/>
    <w:rsid w:val="67F6765E"/>
    <w:rsid w:val="68075AA7"/>
    <w:rsid w:val="68A80B31"/>
    <w:rsid w:val="695E2FDB"/>
    <w:rsid w:val="6A285CE3"/>
    <w:rsid w:val="6A756629"/>
    <w:rsid w:val="6AFF3B23"/>
    <w:rsid w:val="6B591C27"/>
    <w:rsid w:val="6BA862BD"/>
    <w:rsid w:val="6BF87318"/>
    <w:rsid w:val="6C1D1673"/>
    <w:rsid w:val="6C222A6F"/>
    <w:rsid w:val="6CAB4BBA"/>
    <w:rsid w:val="6CB92937"/>
    <w:rsid w:val="6D22664C"/>
    <w:rsid w:val="6D3911BE"/>
    <w:rsid w:val="6E9B756B"/>
    <w:rsid w:val="6FCE719E"/>
    <w:rsid w:val="6FE60CE4"/>
    <w:rsid w:val="6FFD78D4"/>
    <w:rsid w:val="702E2370"/>
    <w:rsid w:val="705928DA"/>
    <w:rsid w:val="708915EC"/>
    <w:rsid w:val="70BD080D"/>
    <w:rsid w:val="713B5C96"/>
    <w:rsid w:val="716235F4"/>
    <w:rsid w:val="718B5632"/>
    <w:rsid w:val="719F083E"/>
    <w:rsid w:val="71C3638A"/>
    <w:rsid w:val="71CF1C1D"/>
    <w:rsid w:val="71D06DDE"/>
    <w:rsid w:val="720311C6"/>
    <w:rsid w:val="72730101"/>
    <w:rsid w:val="72D2794E"/>
    <w:rsid w:val="72DC67C8"/>
    <w:rsid w:val="7321788E"/>
    <w:rsid w:val="732E08E5"/>
    <w:rsid w:val="735D5A77"/>
    <w:rsid w:val="737F5D8C"/>
    <w:rsid w:val="73A733BB"/>
    <w:rsid w:val="749116C1"/>
    <w:rsid w:val="74E819FA"/>
    <w:rsid w:val="75192DAF"/>
    <w:rsid w:val="75265064"/>
    <w:rsid w:val="75846851"/>
    <w:rsid w:val="75AE223D"/>
    <w:rsid w:val="76046BE0"/>
    <w:rsid w:val="765034C2"/>
    <w:rsid w:val="766D2A87"/>
    <w:rsid w:val="768B77ED"/>
    <w:rsid w:val="769A13A3"/>
    <w:rsid w:val="770601E9"/>
    <w:rsid w:val="7714539C"/>
    <w:rsid w:val="774760CB"/>
    <w:rsid w:val="779E2A31"/>
    <w:rsid w:val="7827349A"/>
    <w:rsid w:val="79D346EE"/>
    <w:rsid w:val="7A644347"/>
    <w:rsid w:val="7B09414F"/>
    <w:rsid w:val="7B1D42EB"/>
    <w:rsid w:val="7B6B1ACE"/>
    <w:rsid w:val="7BFA1B51"/>
    <w:rsid w:val="7CF72D47"/>
    <w:rsid w:val="7CFA5801"/>
    <w:rsid w:val="7D49411F"/>
    <w:rsid w:val="7E025758"/>
    <w:rsid w:val="7E3F627C"/>
    <w:rsid w:val="7E4F6F7C"/>
    <w:rsid w:val="7E6606C5"/>
    <w:rsid w:val="7ED76318"/>
    <w:rsid w:val="7F165714"/>
    <w:rsid w:val="7F6233FC"/>
    <w:rsid w:val="7F781D3D"/>
    <w:rsid w:val="7F7C75FD"/>
    <w:rsid w:val="7F826130"/>
    <w:rsid w:val="7F9040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3">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8"/>
    <w:qFormat/>
    <w:uiPriority w:val="0"/>
    <w:rPr>
      <w:rFonts w:ascii="宋体" w:hAnsi="Courier New"/>
      <w:szCs w:val="20"/>
    </w:rPr>
  </w:style>
  <w:style w:type="paragraph" w:styleId="11">
    <w:name w:val="Date"/>
    <w:basedOn w:val="1"/>
    <w:next w:val="1"/>
    <w:qFormat/>
    <w:uiPriority w:val="0"/>
    <w:pPr>
      <w:ind w:left="100"/>
    </w:pPr>
  </w:style>
  <w:style w:type="paragraph" w:styleId="12">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3">
    <w:name w:val="Balloon Text"/>
    <w:basedOn w:val="1"/>
    <w:link w:val="33"/>
    <w:unhideWhenUsed/>
    <w:qFormat/>
    <w:uiPriority w:val="0"/>
    <w:rPr>
      <w:sz w:val="18"/>
      <w:szCs w:val="18"/>
    </w:rPr>
  </w:style>
  <w:style w:type="paragraph" w:styleId="14">
    <w:name w:val="footer"/>
    <w:basedOn w:val="1"/>
    <w:link w:val="27"/>
    <w:qFormat/>
    <w:uiPriority w:val="0"/>
    <w:pPr>
      <w:tabs>
        <w:tab w:val="center" w:pos="4153"/>
        <w:tab w:val="right" w:pos="8306"/>
      </w:tabs>
      <w:snapToGrid w:val="0"/>
      <w:jc w:val="left"/>
    </w:pPr>
    <w:rPr>
      <w:sz w:val="18"/>
      <w:szCs w:val="18"/>
    </w:rPr>
  </w:style>
  <w:style w:type="paragraph" w:styleId="15">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7">
    <w:name w:val="Body Text Indent 3"/>
    <w:basedOn w:val="1"/>
    <w:unhideWhenUsed/>
    <w:qFormat/>
    <w:uiPriority w:val="0"/>
    <w:pPr>
      <w:ind w:left="150"/>
    </w:pPr>
    <w:rPr>
      <w:sz w:val="28"/>
    </w:rPr>
  </w:style>
  <w:style w:type="paragraph" w:styleId="18">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link w:val="38"/>
    <w:qFormat/>
    <w:uiPriority w:val="0"/>
    <w:pPr>
      <w:spacing w:before="240" w:after="60"/>
      <w:jc w:val="center"/>
      <w:outlineLvl w:val="0"/>
    </w:pPr>
    <w:rPr>
      <w:rFonts w:asciiTheme="majorHAnsi" w:hAnsiTheme="majorHAnsi" w:cstheme="majorBidi"/>
      <w:b/>
      <w:bCs/>
      <w:sz w:val="32"/>
      <w:szCs w:val="32"/>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styleId="25">
    <w:name w:val="annotation reference"/>
    <w:basedOn w:val="23"/>
    <w:unhideWhenUsed/>
    <w:qFormat/>
    <w:uiPriority w:val="0"/>
    <w:rPr>
      <w:sz w:val="21"/>
      <w:szCs w:val="21"/>
    </w:rPr>
  </w:style>
  <w:style w:type="character" w:customStyle="1" w:styleId="26">
    <w:name w:val="页眉 Char"/>
    <w:basedOn w:val="23"/>
    <w:link w:val="15"/>
    <w:qFormat/>
    <w:uiPriority w:val="0"/>
    <w:rPr>
      <w:kern w:val="2"/>
      <w:sz w:val="18"/>
      <w:szCs w:val="18"/>
    </w:rPr>
  </w:style>
  <w:style w:type="character" w:customStyle="1" w:styleId="27">
    <w:name w:val="页脚 Char"/>
    <w:basedOn w:val="23"/>
    <w:link w:val="14"/>
    <w:qFormat/>
    <w:uiPriority w:val="0"/>
    <w:rPr>
      <w:kern w:val="2"/>
      <w:sz w:val="18"/>
      <w:szCs w:val="18"/>
    </w:rPr>
  </w:style>
  <w:style w:type="character" w:customStyle="1" w:styleId="28">
    <w:name w:val="纯文本 Char"/>
    <w:basedOn w:val="23"/>
    <w:link w:val="10"/>
    <w:qFormat/>
    <w:uiPriority w:val="0"/>
    <w:rPr>
      <w:rFonts w:ascii="宋体" w:hAnsi="Courier New"/>
      <w:kern w:val="2"/>
      <w:sz w:val="21"/>
    </w:rPr>
  </w:style>
  <w:style w:type="character" w:customStyle="1" w:styleId="29">
    <w:name w:val="纯文本 Char1"/>
    <w:basedOn w:val="23"/>
    <w:qFormat/>
    <w:uiPriority w:val="0"/>
    <w:rPr>
      <w:rFonts w:ascii="宋体" w:hAnsi="Courier New" w:cs="Courier New"/>
      <w:kern w:val="2"/>
      <w:sz w:val="21"/>
      <w:szCs w:val="21"/>
    </w:rPr>
  </w:style>
  <w:style w:type="paragraph" w:customStyle="1" w:styleId="30">
    <w:name w:val="列出段落1"/>
    <w:basedOn w:val="1"/>
    <w:unhideWhenUsed/>
    <w:qFormat/>
    <w:uiPriority w:val="99"/>
    <w:pPr>
      <w:ind w:firstLine="420" w:firstLineChars="200"/>
    </w:pPr>
  </w:style>
  <w:style w:type="paragraph" w:customStyle="1" w:styleId="3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Blockquote"/>
    <w:basedOn w:val="1"/>
    <w:qFormat/>
    <w:uiPriority w:val="0"/>
    <w:pPr>
      <w:autoSpaceDE w:val="0"/>
      <w:autoSpaceDN w:val="0"/>
      <w:adjustRightInd w:val="0"/>
      <w:ind w:left="360" w:right="360"/>
      <w:jc w:val="left"/>
    </w:pPr>
    <w:rPr>
      <w:kern w:val="0"/>
      <w:sz w:val="24"/>
      <w:szCs w:val="20"/>
    </w:rPr>
  </w:style>
  <w:style w:type="character" w:customStyle="1" w:styleId="33">
    <w:name w:val="批注框文本 Char"/>
    <w:basedOn w:val="23"/>
    <w:link w:val="13"/>
    <w:semiHidden/>
    <w:qFormat/>
    <w:uiPriority w:val="0"/>
    <w:rPr>
      <w:kern w:val="2"/>
      <w:sz w:val="18"/>
      <w:szCs w:val="18"/>
    </w:rPr>
  </w:style>
  <w:style w:type="paragraph" w:customStyle="1" w:styleId="34">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5">
    <w:name w:val="cjk"/>
    <w:basedOn w:val="1"/>
    <w:qFormat/>
    <w:uiPriority w:val="0"/>
    <w:pPr>
      <w:spacing w:before="284" w:after="100" w:afterAutospacing="1" w:line="360" w:lineRule="auto"/>
    </w:pPr>
    <w:rPr>
      <w:sz w:val="22"/>
    </w:rPr>
  </w:style>
  <w:style w:type="paragraph" w:customStyle="1" w:styleId="36">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7">
    <w:name w:val="List Paragraph"/>
    <w:basedOn w:val="1"/>
    <w:unhideWhenUsed/>
    <w:qFormat/>
    <w:uiPriority w:val="99"/>
    <w:pPr>
      <w:ind w:firstLine="420" w:firstLineChars="200"/>
    </w:pPr>
  </w:style>
  <w:style w:type="character" w:customStyle="1" w:styleId="38">
    <w:name w:val="标题 Char"/>
    <w:basedOn w:val="23"/>
    <w:link w:val="20"/>
    <w:qFormat/>
    <w:uiPriority w:val="0"/>
    <w:rPr>
      <w:rFonts w:asciiTheme="majorHAnsi" w:hAnsiTheme="majorHAnsi" w:cstheme="majorBidi"/>
      <w:b/>
      <w:bCs/>
      <w:kern w:val="2"/>
      <w:sz w:val="32"/>
      <w:szCs w:val="32"/>
    </w:rPr>
  </w:style>
  <w:style w:type="character" w:customStyle="1" w:styleId="39">
    <w:name w:val="标题 1 Char"/>
    <w:basedOn w:val="23"/>
    <w:link w:val="2"/>
    <w:qFormat/>
    <w:uiPriority w:val="0"/>
    <w:rPr>
      <w:b/>
      <w:bCs/>
      <w:kern w:val="44"/>
      <w:sz w:val="44"/>
      <w:szCs w:val="44"/>
    </w:rPr>
  </w:style>
  <w:style w:type="paragraph" w:customStyle="1" w:styleId="4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1">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2">
    <w:name w:val="font01"/>
    <w:basedOn w:val="23"/>
    <w:qFormat/>
    <w:uiPriority w:val="0"/>
    <w:rPr>
      <w:rFonts w:hint="eastAsia" w:ascii="黑体" w:hAnsi="宋体" w:eastAsia="黑体" w:cs="黑体"/>
      <w:color w:val="FF0000"/>
      <w:sz w:val="18"/>
      <w:szCs w:val="18"/>
      <w:u w:val="none"/>
    </w:rPr>
  </w:style>
  <w:style w:type="character" w:customStyle="1" w:styleId="43">
    <w:name w:val="font11"/>
    <w:basedOn w:val="23"/>
    <w:qFormat/>
    <w:uiPriority w:val="0"/>
    <w:rPr>
      <w:rFonts w:hint="eastAsia" w:ascii="黑体" w:hAnsi="宋体" w:eastAsia="黑体" w:cs="黑体"/>
      <w:color w:val="000000"/>
      <w:sz w:val="18"/>
      <w:szCs w:val="18"/>
      <w:u w:val="none"/>
    </w:rPr>
  </w:style>
  <w:style w:type="character" w:customStyle="1" w:styleId="44">
    <w:name w:val="font51"/>
    <w:basedOn w:val="23"/>
    <w:qFormat/>
    <w:uiPriority w:val="0"/>
    <w:rPr>
      <w:rFonts w:hint="eastAsia" w:ascii="黑体" w:hAnsi="宋体" w:eastAsia="黑体" w:cs="黑体"/>
      <w:color w:val="000000"/>
      <w:sz w:val="18"/>
      <w:szCs w:val="18"/>
      <w:u w:val="none"/>
    </w:rPr>
  </w:style>
  <w:style w:type="paragraph" w:customStyle="1" w:styleId="45">
    <w:name w:val="纯文本1"/>
    <w:basedOn w:val="1"/>
    <w:qFormat/>
    <w:uiPriority w:val="0"/>
    <w:pPr>
      <w:widowControl w:val="0"/>
      <w:jc w:val="both"/>
    </w:pPr>
    <w:rPr>
      <w:rFonts w:ascii="宋体" w:hAnsi="宋体" w:eastAsia="楷体_GB2312"/>
      <w:kern w:val="1"/>
      <w:sz w:val="28"/>
      <w:szCs w:val="20"/>
    </w:rPr>
  </w:style>
  <w:style w:type="paragraph" w:customStyle="1" w:styleId="46">
    <w:name w:val="Plain Text1"/>
    <w:basedOn w:val="1"/>
    <w:qFormat/>
    <w:uiPriority w:val="0"/>
    <w:pPr>
      <w:widowControl w:val="0"/>
      <w:jc w:val="both"/>
    </w:pPr>
    <w:rPr>
      <w:rFonts w:ascii="宋体" w:hAnsi="宋体" w:eastAsia="楷体_GB2312"/>
      <w:kern w:val="1"/>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30</Pages>
  <Words>2558</Words>
  <Characters>14587</Characters>
  <Lines>121</Lines>
  <Paragraphs>34</Paragraphs>
  <TotalTime>2</TotalTime>
  <ScaleCrop>false</ScaleCrop>
  <LinksUpToDate>false</LinksUpToDate>
  <CharactersWithSpaces>17111</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2017-12-04T02:17:00Z</cp:lastPrinted>
  <dcterms:modified xsi:type="dcterms:W3CDTF">2020-07-24T06:45:11Z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