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sz w:val="32"/>
          <w:szCs w:val="32"/>
        </w:rPr>
      </w:pPr>
      <w:r>
        <w:rPr>
          <w:rFonts w:hint="eastAsia"/>
          <w:b/>
          <w:sz w:val="32"/>
          <w:szCs w:val="32"/>
          <w:lang w:eastAsia="zh-CN"/>
        </w:rPr>
        <w:t>周庄书香府邸</w:t>
      </w:r>
      <w:r>
        <w:rPr>
          <w:rFonts w:hint="eastAsia"/>
          <w:b/>
          <w:sz w:val="32"/>
          <w:szCs w:val="32"/>
        </w:rPr>
        <w:t>厨房设备采购</w:t>
      </w:r>
      <w:r>
        <w:rPr>
          <w:rFonts w:hint="eastAsia"/>
          <w:b/>
          <w:sz w:val="32"/>
          <w:szCs w:val="32"/>
          <w:lang w:eastAsia="zh-CN"/>
        </w:rPr>
        <w:t>（安装）询价文件</w:t>
      </w:r>
    </w:p>
    <w:p>
      <w:pPr>
        <w:spacing w:line="360" w:lineRule="auto"/>
        <w:ind w:left="480"/>
        <w:rPr>
          <w:b/>
          <w:bCs/>
          <w:sz w:val="24"/>
          <w:szCs w:val="24"/>
        </w:rPr>
      </w:pPr>
      <w:r>
        <w:rPr>
          <w:rFonts w:hint="eastAsia"/>
          <w:sz w:val="24"/>
          <w:szCs w:val="24"/>
        </w:rPr>
        <w:t>1、</w:t>
      </w:r>
      <w:r>
        <w:rPr>
          <w:rFonts w:hint="eastAsia"/>
          <w:b/>
          <w:bCs/>
          <w:sz w:val="24"/>
          <w:szCs w:val="24"/>
        </w:rPr>
        <w:t>投标报价须知附表</w:t>
      </w:r>
    </w:p>
    <w:tbl>
      <w:tblPr>
        <w:tblStyle w:val="7"/>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045"/>
        <w:gridCol w:w="60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noWrap w:val="0"/>
            <w:vAlign w:val="top"/>
          </w:tcPr>
          <w:p>
            <w:pPr>
              <w:spacing w:line="400" w:lineRule="atLeast"/>
              <w:jc w:val="center"/>
              <w:rPr>
                <w:rFonts w:ascii="宋体" w:hAnsi="宋体"/>
                <w:color w:val="000000"/>
                <w:sz w:val="24"/>
                <w:szCs w:val="24"/>
              </w:rPr>
            </w:pPr>
            <w:r>
              <w:rPr>
                <w:rFonts w:hint="eastAsia" w:ascii="宋体" w:hAnsi="宋体"/>
                <w:color w:val="000000"/>
                <w:sz w:val="24"/>
                <w:szCs w:val="24"/>
              </w:rPr>
              <w:t>项号</w:t>
            </w:r>
          </w:p>
        </w:tc>
        <w:tc>
          <w:tcPr>
            <w:tcW w:w="2045" w:type="dxa"/>
            <w:tcBorders>
              <w:top w:val="single" w:color="auto" w:sz="4" w:space="0"/>
              <w:left w:val="single" w:color="auto" w:sz="4" w:space="0"/>
              <w:bottom w:val="single" w:color="auto" w:sz="4" w:space="0"/>
              <w:right w:val="single" w:color="auto" w:sz="4" w:space="0"/>
            </w:tcBorders>
            <w:noWrap w:val="0"/>
            <w:vAlign w:val="top"/>
          </w:tcPr>
          <w:p>
            <w:pPr>
              <w:spacing w:line="400" w:lineRule="atLeast"/>
              <w:jc w:val="center"/>
              <w:rPr>
                <w:rFonts w:ascii="宋体" w:hAnsi="宋体"/>
                <w:color w:val="000000"/>
                <w:sz w:val="24"/>
                <w:szCs w:val="24"/>
              </w:rPr>
            </w:pPr>
            <w:r>
              <w:rPr>
                <w:rFonts w:hint="eastAsia" w:ascii="宋体" w:hAnsi="宋体"/>
                <w:color w:val="000000"/>
                <w:sz w:val="24"/>
                <w:szCs w:val="24"/>
              </w:rPr>
              <w:t>内</w:t>
            </w:r>
            <w:r>
              <w:rPr>
                <w:rFonts w:ascii="宋体" w:hAnsi="宋体"/>
                <w:color w:val="000000"/>
                <w:sz w:val="24"/>
                <w:szCs w:val="24"/>
              </w:rPr>
              <w:t xml:space="preserve"> 容</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jc w:val="center"/>
              <w:rPr>
                <w:rFonts w:ascii="宋体" w:hAnsi="宋体"/>
                <w:color w:val="000000"/>
                <w:sz w:val="24"/>
                <w:szCs w:val="24"/>
              </w:rPr>
            </w:pPr>
            <w:r>
              <w:rPr>
                <w:rFonts w:hint="eastAsia" w:ascii="宋体" w:hAnsi="宋体"/>
                <w:color w:val="000000"/>
                <w:sz w:val="24"/>
                <w:szCs w:val="24"/>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ascii="宋体" w:hAnsi="宋体"/>
                <w:color w:val="000000"/>
                <w:sz w:val="24"/>
                <w:szCs w:val="24"/>
              </w:rPr>
            </w:pPr>
            <w:r>
              <w:rPr>
                <w:rFonts w:hint="eastAsia" w:ascii="宋体" w:hAnsi="宋体"/>
                <w:color w:val="000000"/>
                <w:sz w:val="24"/>
                <w:szCs w:val="24"/>
                <w:lang w:val="en-US" w:eastAsia="zh-CN"/>
              </w:rPr>
              <w:t>1</w:t>
            </w:r>
          </w:p>
        </w:tc>
        <w:tc>
          <w:tcPr>
            <w:tcW w:w="2045"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hint="eastAsia" w:ascii="宋体" w:hAnsi="宋体"/>
                <w:color w:val="000000"/>
                <w:sz w:val="24"/>
                <w:szCs w:val="24"/>
                <w:lang w:val="en-US" w:eastAsia="zh-CN"/>
              </w:rPr>
            </w:pPr>
            <w:r>
              <w:rPr>
                <w:rFonts w:hint="eastAsia" w:ascii="宋体" w:hAnsi="宋体"/>
                <w:color w:val="000000"/>
                <w:sz w:val="24"/>
                <w:szCs w:val="24"/>
                <w:lang w:eastAsia="zh-CN"/>
              </w:rPr>
              <w:t>建设单位</w:t>
            </w:r>
          </w:p>
          <w:p>
            <w:pPr>
              <w:spacing w:line="400" w:lineRule="atLeast"/>
              <w:rPr>
                <w:rFonts w:hint="eastAsia" w:ascii="宋体" w:hAnsi="宋体"/>
                <w:color w:val="000000"/>
                <w:sz w:val="24"/>
                <w:szCs w:val="24"/>
              </w:rPr>
            </w:pPr>
            <w:r>
              <w:rPr>
                <w:rFonts w:hint="eastAsia" w:ascii="宋体" w:hAnsi="宋体"/>
                <w:color w:val="000000"/>
                <w:sz w:val="24"/>
                <w:szCs w:val="24"/>
                <w:lang w:eastAsia="zh-CN"/>
              </w:rPr>
              <w:t>招标编号</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hint="eastAsia" w:ascii="宋体" w:hAnsi="宋体" w:eastAsia="宋体" w:cs="Tahoma"/>
                <w:sz w:val="24"/>
                <w:szCs w:val="24"/>
                <w:lang w:eastAsia="zh-CN"/>
              </w:rPr>
            </w:pPr>
            <w:r>
              <w:rPr>
                <w:rFonts w:hint="eastAsia" w:ascii="宋体" w:hAnsi="宋体" w:cs="Tahoma"/>
                <w:sz w:val="24"/>
                <w:szCs w:val="24"/>
                <w:lang w:val="en-US" w:eastAsia="zh-CN"/>
              </w:rPr>
              <w:t>昆山</w:t>
            </w:r>
            <w:r>
              <w:rPr>
                <w:rFonts w:hint="eastAsia" w:ascii="宋体" w:hAnsi="宋体" w:cs="Tahoma"/>
                <w:sz w:val="24"/>
                <w:szCs w:val="24"/>
                <w:lang w:eastAsia="zh-CN"/>
              </w:rPr>
              <w:t>周庄书香府邸</w:t>
            </w:r>
            <w:r>
              <w:rPr>
                <w:rFonts w:hint="eastAsia" w:ascii="宋体" w:hAnsi="宋体" w:cs="Tahoma"/>
                <w:sz w:val="24"/>
                <w:szCs w:val="24"/>
                <w:lang w:val="en-US" w:eastAsia="zh-CN"/>
              </w:rPr>
              <w:t>酒店</w:t>
            </w:r>
            <w:r>
              <w:rPr>
                <w:rFonts w:hint="eastAsia" w:ascii="宋体" w:hAnsi="宋体" w:cs="Tahoma"/>
                <w:sz w:val="24"/>
                <w:szCs w:val="24"/>
                <w:lang w:eastAsia="zh-CN"/>
              </w:rPr>
              <w:t>管理有限公司</w:t>
            </w:r>
          </w:p>
          <w:p>
            <w:pPr>
              <w:spacing w:line="400" w:lineRule="atLeast"/>
              <w:rPr>
                <w:rFonts w:hint="eastAsia" w:ascii="宋体" w:hAnsi="宋体" w:cs="Tahoma"/>
                <w:sz w:val="24"/>
                <w:szCs w:val="24"/>
                <w:u w:val="single"/>
                <w:lang w:val="en-US" w:eastAsia="zh-CN"/>
              </w:rPr>
            </w:pPr>
            <w:r>
              <w:rPr>
                <w:rFonts w:hint="eastAsia" w:ascii="宋体" w:hAnsi="宋体" w:cs="Tahoma"/>
                <w:sz w:val="24"/>
                <w:szCs w:val="24"/>
                <w:lang w:eastAsia="zh-CN"/>
              </w:rPr>
              <w:t>招标编号：SXCG202005-G-01</w:t>
            </w:r>
            <w:r>
              <w:rPr>
                <w:rFonts w:hint="eastAsia" w:ascii="宋体" w:hAnsi="宋体" w:cs="Tahoma"/>
                <w:sz w:val="24"/>
                <w:szCs w:val="24"/>
                <w:lang w:val="en-US" w:eastAsia="zh-CN"/>
              </w:rPr>
              <w:t>3</w:t>
            </w:r>
            <w:r>
              <w:rPr>
                <w:rFonts w:hint="eastAsia" w:ascii="宋体" w:hAnsi="宋体" w:cs="Tahoma"/>
                <w:sz w:val="24"/>
                <w:szCs w:val="24"/>
                <w:u w:val="single"/>
                <w:lang w:val="en-US" w:eastAsia="zh-CN"/>
              </w:rPr>
              <w:t xml:space="preserve">    </w:t>
            </w:r>
          </w:p>
          <w:p>
            <w:pPr>
              <w:spacing w:line="400" w:lineRule="atLeast"/>
              <w:rPr>
                <w:rFonts w:hint="eastAsia" w:ascii="宋体" w:hAnsi="宋体" w:cs="Tahoma"/>
                <w:sz w:val="24"/>
                <w:szCs w:val="24"/>
                <w:lang w:eastAsia="zh-CN"/>
              </w:rPr>
            </w:pPr>
            <w:r>
              <w:rPr>
                <w:rFonts w:hint="eastAsia" w:ascii="宋体" w:hAnsi="宋体" w:cs="Tahoma"/>
                <w:sz w:val="24"/>
                <w:szCs w:val="24"/>
                <w:lang w:val="en-US" w:eastAsia="zh-CN"/>
              </w:rPr>
              <w:t xml:space="preserve">投标有效期：45天  </w:t>
            </w:r>
            <w:r>
              <w:rPr>
                <w:rFonts w:hint="eastAsia" w:ascii="宋体" w:hAnsi="宋体" w:cs="Tahoma"/>
                <w:sz w:val="24"/>
                <w:szCs w:val="24"/>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2</w:t>
            </w:r>
          </w:p>
        </w:tc>
        <w:tc>
          <w:tcPr>
            <w:tcW w:w="2045"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color w:val="000000"/>
                <w:sz w:val="24"/>
                <w:szCs w:val="24"/>
              </w:rPr>
            </w:pPr>
            <w:r>
              <w:rPr>
                <w:rFonts w:hint="eastAsia" w:ascii="宋体" w:hAnsi="宋体"/>
                <w:color w:val="000000"/>
                <w:sz w:val="24"/>
                <w:szCs w:val="24"/>
              </w:rPr>
              <w:t>工程名称</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sz w:val="24"/>
                <w:szCs w:val="24"/>
              </w:rPr>
            </w:pPr>
            <w:r>
              <w:rPr>
                <w:rFonts w:hint="eastAsia" w:ascii="宋体" w:hAnsi="宋体" w:cs="Tahoma"/>
                <w:sz w:val="24"/>
                <w:szCs w:val="24"/>
                <w:lang w:eastAsia="zh-CN"/>
              </w:rPr>
              <w:t>周庄书香府邸厨房设备采购（安装）工程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1"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3</w:t>
            </w:r>
          </w:p>
        </w:tc>
        <w:tc>
          <w:tcPr>
            <w:tcW w:w="2045"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color w:val="000000"/>
                <w:sz w:val="24"/>
                <w:szCs w:val="24"/>
              </w:rPr>
            </w:pPr>
            <w:r>
              <w:rPr>
                <w:rFonts w:hint="eastAsia" w:ascii="宋体" w:hAnsi="宋体"/>
                <w:color w:val="000000"/>
                <w:sz w:val="24"/>
                <w:szCs w:val="24"/>
              </w:rPr>
              <w:t>建设地点</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sz w:val="24"/>
                <w:szCs w:val="24"/>
                <w:lang w:val="en-US"/>
              </w:rPr>
            </w:pPr>
            <w:bookmarkStart w:id="0" w:name="EB124651d73dc64810a46087da8d50fd40"/>
            <w:r>
              <w:rPr>
                <w:rFonts w:hint="eastAsia" w:ascii="宋体" w:hAnsi="宋体" w:eastAsia="宋体" w:cs="宋体"/>
                <w:b w:val="0"/>
                <w:bCs w:val="0"/>
                <w:color w:val="auto"/>
                <w:sz w:val="24"/>
                <w:szCs w:val="24"/>
                <w:highlight w:val="white"/>
              </w:rPr>
              <w:t>周庄古镇后港街40号</w:t>
            </w:r>
            <w:bookmarkEnd w:id="0"/>
            <w:r>
              <w:rPr>
                <w:rFonts w:hint="eastAsia" w:ascii="宋体" w:hAnsi="宋体" w:eastAsia="宋体" w:cs="宋体"/>
                <w:b w:val="0"/>
                <w:bCs w:val="0"/>
                <w:color w:val="auto"/>
                <w:sz w:val="24"/>
                <w:szCs w:val="24"/>
                <w:lang w:val="en-US" w:eastAsia="zh-CN"/>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4</w:t>
            </w:r>
          </w:p>
        </w:tc>
        <w:tc>
          <w:tcPr>
            <w:tcW w:w="2045"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rPr>
                <w:rFonts w:ascii="宋体" w:hAnsi="宋体"/>
                <w:color w:val="000000"/>
                <w:sz w:val="24"/>
                <w:szCs w:val="24"/>
              </w:rPr>
            </w:pPr>
            <w:r>
              <w:rPr>
                <w:rFonts w:hint="eastAsia" w:ascii="宋体" w:hAnsi="宋体"/>
                <w:color w:val="000000"/>
                <w:sz w:val="24"/>
                <w:szCs w:val="24"/>
              </w:rPr>
              <w:t>承包方式</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eastAsia="宋体"/>
                <w:sz w:val="24"/>
                <w:szCs w:val="24"/>
              </w:rPr>
            </w:pPr>
            <w:r>
              <w:rPr>
                <w:rFonts w:hint="eastAsia" w:ascii="宋体" w:hAnsi="宋体"/>
                <w:sz w:val="24"/>
                <w:szCs w:val="24"/>
                <w:lang w:eastAsia="zh-CN"/>
              </w:rPr>
              <w:t>固定单价</w:t>
            </w:r>
            <w:r>
              <w:rPr>
                <w:rFonts w:hint="eastAsia" w:ascii="宋体" w:hAnsi="宋体"/>
                <w:sz w:val="24"/>
                <w:szCs w:val="24"/>
              </w:rPr>
              <w:t>，</w:t>
            </w:r>
            <w:r>
              <w:rPr>
                <w:rFonts w:hint="eastAsia" w:ascii="宋体" w:hAnsi="宋体"/>
                <w:sz w:val="24"/>
                <w:szCs w:val="24"/>
                <w:lang w:eastAsia="zh-CN"/>
              </w:rPr>
              <w:t>所供设备需安装就位并调试合格；（详见图纸及采购清单）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5</w:t>
            </w:r>
          </w:p>
        </w:tc>
        <w:tc>
          <w:tcPr>
            <w:tcW w:w="2045"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color w:val="000000"/>
                <w:sz w:val="24"/>
                <w:szCs w:val="24"/>
              </w:rPr>
            </w:pPr>
            <w:r>
              <w:rPr>
                <w:rFonts w:hint="eastAsia" w:ascii="宋体" w:hAnsi="宋体"/>
                <w:color w:val="000000"/>
                <w:sz w:val="24"/>
                <w:szCs w:val="24"/>
              </w:rPr>
              <w:t>工期要求</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sz w:val="24"/>
                <w:szCs w:val="24"/>
              </w:rPr>
            </w:pPr>
            <w:r>
              <w:rPr>
                <w:rFonts w:hint="eastAsia" w:ascii="宋体" w:hAnsi="宋体"/>
                <w:sz w:val="24"/>
                <w:szCs w:val="24"/>
              </w:rPr>
              <w:t>工</w:t>
            </w:r>
            <w:r>
              <w:rPr>
                <w:rFonts w:hint="eastAsia" w:ascii="宋体" w:hAnsi="宋体"/>
                <w:sz w:val="24"/>
                <w:szCs w:val="24"/>
                <w:lang w:eastAsia="zh-CN"/>
              </w:rPr>
              <w:t>期</w:t>
            </w:r>
            <w:r>
              <w:rPr>
                <w:rFonts w:hint="eastAsia" w:ascii="宋体" w:hAnsi="宋体"/>
                <w:sz w:val="24"/>
                <w:szCs w:val="24"/>
                <w:lang w:val="en-US" w:eastAsia="zh-CN"/>
              </w:rPr>
              <w:t>60</w:t>
            </w:r>
            <w:r>
              <w:rPr>
                <w:rFonts w:hint="eastAsia" w:ascii="宋体" w:hAnsi="宋体"/>
                <w:sz w:val="24"/>
                <w:szCs w:val="24"/>
              </w:rPr>
              <w:t>天</w:t>
            </w:r>
            <w:r>
              <w:rPr>
                <w:rFonts w:hint="eastAsia" w:ascii="宋体" w:hAnsi="宋体"/>
                <w:sz w:val="24"/>
                <w:szCs w:val="24"/>
                <w:lang w:eastAsia="zh-CN"/>
              </w:rPr>
              <w:t>，并配合改造施工进行</w:t>
            </w:r>
            <w:r>
              <w:rPr>
                <w:rFonts w:hint="eastAsia" w:ascii="宋体" w:hAnsi="宋体"/>
                <w:sz w:val="24"/>
                <w:szCs w:val="24"/>
              </w:rPr>
              <w:t>，</w:t>
            </w:r>
            <w:r>
              <w:rPr>
                <w:rFonts w:hint="eastAsia" w:ascii="宋体" w:hAnsi="宋体"/>
                <w:sz w:val="24"/>
                <w:szCs w:val="24"/>
                <w:lang w:eastAsia="zh-CN"/>
              </w:rPr>
              <w:t>如影响装饰进度或延迟竣工，处</w:t>
            </w:r>
            <w:r>
              <w:rPr>
                <w:rFonts w:hint="eastAsia" w:ascii="宋体" w:hAnsi="宋体"/>
                <w:sz w:val="24"/>
                <w:szCs w:val="24"/>
                <w:lang w:val="en-US" w:eastAsia="zh-CN"/>
              </w:rPr>
              <w:t>500元/天罚款。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6</w:t>
            </w:r>
          </w:p>
        </w:tc>
        <w:tc>
          <w:tcPr>
            <w:tcW w:w="2045"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rPr>
                <w:rFonts w:ascii="宋体" w:hAnsi="宋体"/>
                <w:color w:val="000000"/>
                <w:sz w:val="24"/>
                <w:szCs w:val="24"/>
              </w:rPr>
            </w:pPr>
            <w:r>
              <w:rPr>
                <w:rFonts w:hint="eastAsia" w:ascii="宋体" w:hAnsi="宋体"/>
                <w:color w:val="000000"/>
                <w:sz w:val="24"/>
                <w:szCs w:val="24"/>
              </w:rPr>
              <w:t>竞争报价人的资质等级要求</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hint="eastAsia" w:eastAsia="宋体"/>
                <w:sz w:val="24"/>
                <w:szCs w:val="24"/>
                <w:lang w:eastAsia="zh-CN"/>
              </w:rPr>
            </w:pPr>
            <w:r>
              <w:rPr>
                <w:rFonts w:hint="eastAsia"/>
                <w:sz w:val="24"/>
                <w:szCs w:val="24"/>
                <w:lang w:eastAsia="zh-CN"/>
              </w:rPr>
              <w:t>具有厨房设备生产、销售相关资质</w:t>
            </w:r>
            <w:r>
              <w:rPr>
                <w:rFonts w:hint="eastAsia" w:ascii="宋体" w:hAnsi="宋体"/>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7</w:t>
            </w:r>
          </w:p>
        </w:tc>
        <w:tc>
          <w:tcPr>
            <w:tcW w:w="2045"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color w:val="000000"/>
                <w:sz w:val="24"/>
                <w:szCs w:val="24"/>
              </w:rPr>
            </w:pPr>
            <w:r>
              <w:rPr>
                <w:rFonts w:hint="eastAsia" w:ascii="宋体" w:hAnsi="宋体"/>
                <w:color w:val="000000"/>
                <w:sz w:val="24"/>
                <w:szCs w:val="24"/>
              </w:rPr>
              <w:t>竞争报价文件</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sz w:val="24"/>
                <w:szCs w:val="24"/>
              </w:rPr>
            </w:pPr>
            <w:r>
              <w:rPr>
                <w:rFonts w:hint="eastAsia" w:ascii="宋体" w:hAnsi="宋体"/>
                <w:sz w:val="24"/>
                <w:szCs w:val="24"/>
              </w:rPr>
              <w:t xml:space="preserve">正本一份，副本二份，电子版一份，密封盖章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8</w:t>
            </w:r>
          </w:p>
        </w:tc>
        <w:tc>
          <w:tcPr>
            <w:tcW w:w="2045"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color w:val="000000"/>
                <w:sz w:val="24"/>
                <w:szCs w:val="24"/>
              </w:rPr>
            </w:pPr>
            <w:r>
              <w:rPr>
                <w:rFonts w:hint="eastAsia" w:ascii="宋体" w:hAnsi="宋体"/>
                <w:color w:val="000000"/>
                <w:sz w:val="24"/>
                <w:szCs w:val="24"/>
              </w:rPr>
              <w:t>竞争报价文件递交截止时间及地点</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pPr>
            <w:r>
              <w:rPr>
                <w:rFonts w:hint="eastAsia"/>
              </w:rPr>
              <w:t>时间：20</w:t>
            </w:r>
            <w:r>
              <w:rPr>
                <w:rFonts w:hint="eastAsia"/>
                <w:lang w:val="en-US" w:eastAsia="zh-CN"/>
              </w:rPr>
              <w:t>20</w:t>
            </w:r>
            <w:r>
              <w:rPr>
                <w:rFonts w:hint="eastAsia"/>
              </w:rPr>
              <w:t>年</w:t>
            </w:r>
            <w:r>
              <w:rPr>
                <w:rFonts w:hint="eastAsia"/>
                <w:lang w:val="en-US" w:eastAsia="zh-CN"/>
              </w:rPr>
              <w:t>06</w:t>
            </w:r>
            <w:r>
              <w:rPr>
                <w:rFonts w:hint="eastAsia"/>
              </w:rPr>
              <w:t>月</w:t>
            </w:r>
            <w:r>
              <w:rPr>
                <w:rFonts w:hint="eastAsia"/>
                <w:lang w:val="en-US" w:eastAsia="zh-CN"/>
              </w:rPr>
              <w:t>02</w:t>
            </w:r>
            <w:r>
              <w:rPr>
                <w:rFonts w:hint="eastAsia"/>
              </w:rPr>
              <w:t>日</w:t>
            </w:r>
            <w:r>
              <w:rPr>
                <w:rFonts w:hint="eastAsia"/>
                <w:lang w:eastAsia="zh-CN"/>
              </w:rPr>
              <w:t>下</w:t>
            </w:r>
            <w:r>
              <w:rPr>
                <w:rFonts w:hint="eastAsia"/>
              </w:rPr>
              <w:t>午</w:t>
            </w:r>
            <w:r>
              <w:t>1</w:t>
            </w:r>
            <w:r>
              <w:rPr>
                <w:rFonts w:hint="eastAsia"/>
                <w:lang w:val="en-US" w:eastAsia="zh-CN"/>
              </w:rPr>
              <w:t>5</w:t>
            </w:r>
            <w:r>
              <w:rPr>
                <w:rFonts w:hint="eastAsia"/>
              </w:rPr>
              <w:t>：</w:t>
            </w:r>
            <w:r>
              <w:t>00前</w:t>
            </w:r>
          </w:p>
          <w:p>
            <w:pPr>
              <w:spacing w:line="400" w:lineRule="atLeast"/>
            </w:pPr>
            <w:r>
              <w:rPr>
                <w:rFonts w:hint="eastAsia"/>
              </w:rPr>
              <w:t>地点：苏州市三香路333号书香酒店管理集团</w:t>
            </w:r>
          </w:p>
          <w:p>
            <w:pPr>
              <w:spacing w:line="400" w:lineRule="atLeast"/>
              <w:rPr>
                <w:rFonts w:hint="eastAsia"/>
                <w:lang w:val="en-US" w:eastAsia="zh-CN"/>
              </w:rPr>
            </w:pPr>
            <w:r>
              <w:rPr>
                <w:rFonts w:hint="eastAsia"/>
              </w:rPr>
              <w:t>联系人：</w:t>
            </w:r>
            <w:r>
              <w:rPr>
                <w:rFonts w:hint="eastAsia"/>
                <w:lang w:eastAsia="zh-CN"/>
              </w:rPr>
              <w:t>钱总</w:t>
            </w:r>
            <w:r>
              <w:rPr>
                <w:rFonts w:hint="eastAsia"/>
              </w:rPr>
              <w:t xml:space="preserve">   联系电话：</w:t>
            </w:r>
            <w:r>
              <w:rPr>
                <w:rFonts w:hint="eastAsia"/>
                <w:lang w:val="en-US" w:eastAsia="zh-CN"/>
              </w:rPr>
              <w:t>13915556818（只接收投标文件，不接受咨询）</w:t>
            </w:r>
          </w:p>
          <w:p>
            <w:pPr>
              <w:pStyle w:val="2"/>
              <w:ind w:left="0" w:leftChars="0" w:firstLine="0" w:firstLineChars="0"/>
              <w:rPr>
                <w:rFonts w:hint="eastAsia"/>
                <w:lang w:val="en-US" w:eastAsia="zh-CN"/>
              </w:rPr>
            </w:pPr>
            <w:r>
              <w:rPr>
                <w:rFonts w:hint="eastAsia"/>
                <w:lang w:val="en-US" w:eastAsia="zh-CN"/>
              </w:rPr>
              <w:t>招标文件咨询联系人：周工 18817376790</w:t>
            </w:r>
          </w:p>
          <w:p>
            <w:pPr>
              <w:pStyle w:val="2"/>
              <w:ind w:left="0" w:leftChars="0" w:firstLine="0" w:firstLineChars="0"/>
              <w:rPr>
                <w:rFonts w:hint="eastAsia"/>
                <w:lang w:val="en-US" w:eastAsia="zh-CN"/>
              </w:rPr>
            </w:pPr>
            <w:r>
              <w:rPr>
                <w:rFonts w:hint="eastAsia"/>
                <w:lang w:val="en-US" w:eastAsia="zh-CN"/>
              </w:rPr>
              <w:t>勘察</w:t>
            </w:r>
            <w:r>
              <w:rPr>
                <w:rFonts w:hint="default"/>
                <w:lang w:val="en-US" w:eastAsia="zh-CN"/>
              </w:rPr>
              <w:t>现场联系人：杨军海/15151508987；张经理/13812893551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9</w:t>
            </w:r>
          </w:p>
        </w:tc>
        <w:tc>
          <w:tcPr>
            <w:tcW w:w="2045"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报价及结算方式</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hint="eastAsia" w:eastAsia="宋体"/>
                <w:sz w:val="24"/>
                <w:szCs w:val="24"/>
                <w:lang w:val="en-US" w:eastAsia="zh-CN"/>
              </w:rPr>
            </w:pPr>
            <w:r>
              <w:rPr>
                <w:rFonts w:hint="eastAsia"/>
                <w:sz w:val="24"/>
                <w:szCs w:val="24"/>
                <w:lang w:eastAsia="zh-CN"/>
              </w:rPr>
              <w:t>固定单价，最终按实际供货数量作为最终结算价或审计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10</w:t>
            </w:r>
          </w:p>
        </w:tc>
        <w:tc>
          <w:tcPr>
            <w:tcW w:w="2045"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color w:val="000000"/>
                <w:sz w:val="24"/>
                <w:szCs w:val="24"/>
              </w:rPr>
            </w:pPr>
          </w:p>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中标价格</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sz w:val="24"/>
                <w:szCs w:val="24"/>
              </w:rPr>
            </w:pPr>
            <w:r>
              <w:rPr>
                <w:rFonts w:hint="eastAsia"/>
                <w:sz w:val="24"/>
                <w:szCs w:val="24"/>
                <w:lang w:val="en-US" w:eastAsia="zh-CN"/>
              </w:rPr>
              <w:t>1、</w:t>
            </w:r>
            <w:r>
              <w:rPr>
                <w:rFonts w:hint="eastAsia"/>
                <w:sz w:val="24"/>
                <w:szCs w:val="24"/>
              </w:rPr>
              <w:t>合理低价</w:t>
            </w:r>
            <w:r>
              <w:rPr>
                <w:rFonts w:hint="eastAsia"/>
                <w:sz w:val="24"/>
                <w:szCs w:val="24"/>
                <w:lang w:eastAsia="zh-CN"/>
              </w:rPr>
              <w:t>中标</w:t>
            </w:r>
            <w:r>
              <w:rPr>
                <w:rFonts w:hint="eastAsia"/>
                <w:sz w:val="24"/>
                <w:szCs w:val="24"/>
              </w:rPr>
              <w:t>（同时综合考虑报价单位的施工能力）</w:t>
            </w:r>
            <w:r>
              <w:rPr>
                <w:rFonts w:hint="eastAsia"/>
                <w:sz w:val="24"/>
                <w:szCs w:val="24"/>
                <w:lang w:val="en-US" w:eastAsia="zh-CN"/>
              </w:rPr>
              <w:t>2、投标价低于投标均价90%的为非合理低价，不得标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11</w:t>
            </w:r>
          </w:p>
        </w:tc>
        <w:tc>
          <w:tcPr>
            <w:tcW w:w="2045"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rPr>
                <w:sz w:val="24"/>
                <w:szCs w:val="24"/>
              </w:rPr>
            </w:pPr>
            <w:r>
              <w:rPr>
                <w:rFonts w:hint="eastAsia"/>
                <w:sz w:val="24"/>
                <w:szCs w:val="24"/>
              </w:rPr>
              <w:t>付款条件</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sz w:val="24"/>
                <w:szCs w:val="24"/>
              </w:rPr>
            </w:pPr>
            <w:r>
              <w:rPr>
                <w:rFonts w:hint="eastAsia"/>
                <w:sz w:val="24"/>
              </w:rPr>
              <w:t>签订合同后预付30%货款，安装调试结束验收合格累计付至</w:t>
            </w:r>
            <w:r>
              <w:rPr>
                <w:rFonts w:hint="eastAsia"/>
                <w:sz w:val="24"/>
                <w:lang w:eastAsia="zh-CN"/>
              </w:rPr>
              <w:t>合同</w:t>
            </w:r>
            <w:r>
              <w:rPr>
                <w:rFonts w:hint="eastAsia"/>
                <w:sz w:val="24"/>
              </w:rPr>
              <w:t>价的</w:t>
            </w:r>
            <w:r>
              <w:rPr>
                <w:rFonts w:hint="eastAsia"/>
                <w:sz w:val="24"/>
                <w:lang w:val="en-US" w:eastAsia="zh-CN"/>
              </w:rPr>
              <w:t>70</w:t>
            </w:r>
            <w:r>
              <w:rPr>
                <w:rFonts w:hint="eastAsia"/>
                <w:sz w:val="24"/>
              </w:rPr>
              <w:t>%，工程结束</w:t>
            </w:r>
            <w:r>
              <w:rPr>
                <w:rFonts w:hint="eastAsia"/>
                <w:sz w:val="24"/>
                <w:lang w:eastAsia="zh-CN"/>
              </w:rPr>
              <w:t>根据实际数量确定最终结算价（或审定价）</w:t>
            </w:r>
            <w:r>
              <w:rPr>
                <w:rFonts w:hint="eastAsia"/>
                <w:sz w:val="24"/>
              </w:rPr>
              <w:t>的95%</w:t>
            </w:r>
            <w:r>
              <w:rPr>
                <w:rFonts w:hint="eastAsia"/>
                <w:sz w:val="24"/>
                <w:lang w:eastAsia="zh-CN"/>
              </w:rPr>
              <w:t>，</w:t>
            </w:r>
            <w:r>
              <w:rPr>
                <w:rFonts w:hint="eastAsia"/>
                <w:sz w:val="24"/>
              </w:rPr>
              <w:t>剩余5%作为工程的保修金，保修期满（</w:t>
            </w:r>
            <w:r>
              <w:rPr>
                <w:rFonts w:hint="eastAsia"/>
                <w:sz w:val="24"/>
                <w:lang w:eastAsia="zh-CN"/>
              </w:rPr>
              <w:t>壹</w:t>
            </w:r>
            <w:r>
              <w:rPr>
                <w:rFonts w:hint="eastAsia"/>
                <w:sz w:val="24"/>
              </w:rPr>
              <w:t>年后）无质量问题付清</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12</w:t>
            </w:r>
          </w:p>
        </w:tc>
        <w:tc>
          <w:tcPr>
            <w:tcW w:w="2045"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rPr>
                <w:sz w:val="24"/>
                <w:szCs w:val="24"/>
              </w:rPr>
            </w:pPr>
            <w:r>
              <w:rPr>
                <w:rFonts w:hint="eastAsia"/>
                <w:sz w:val="24"/>
                <w:szCs w:val="24"/>
              </w:rPr>
              <w:t>往来发票</w:t>
            </w:r>
          </w:p>
        </w:tc>
        <w:tc>
          <w:tcPr>
            <w:tcW w:w="6089"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b/>
                <w:bCs/>
                <w:color w:val="000000"/>
                <w:sz w:val="24"/>
              </w:rPr>
            </w:pPr>
            <w:r>
              <w:rPr>
                <w:rFonts w:hint="eastAsia" w:ascii="宋体" w:hAnsi="宋体"/>
                <w:b/>
                <w:bCs/>
                <w:color w:val="000000"/>
                <w:sz w:val="24"/>
              </w:rPr>
              <w:t>甲乙双方往来的发票均为增值税</w:t>
            </w:r>
            <w:r>
              <w:rPr>
                <w:rFonts w:hint="eastAsia" w:ascii="宋体" w:hAnsi="宋体"/>
                <w:b/>
                <w:bCs/>
                <w:color w:val="000000"/>
                <w:sz w:val="24"/>
                <w:lang w:eastAsia="zh-CN"/>
              </w:rPr>
              <w:t>专用</w:t>
            </w:r>
            <w:r>
              <w:rPr>
                <w:rFonts w:hint="eastAsia" w:ascii="宋体" w:hAnsi="宋体"/>
                <w:b/>
                <w:bCs/>
                <w:color w:val="000000"/>
                <w:sz w:val="24"/>
              </w:rPr>
              <w:t>发票。</w:t>
            </w:r>
            <w:r>
              <w:rPr>
                <w:rFonts w:hint="eastAsia" w:ascii="宋体" w:hAnsi="宋体"/>
                <w:b/>
                <w:bCs/>
                <w:color w:val="000000"/>
                <w:sz w:val="24"/>
                <w:lang w:eastAsia="zh-CN"/>
              </w:rPr>
              <w:t>写明税率。</w:t>
            </w:r>
          </w:p>
        </w:tc>
      </w:tr>
    </w:tbl>
    <w:p>
      <w:pPr>
        <w:numPr>
          <w:ilvl w:val="0"/>
          <w:numId w:val="1"/>
        </w:numPr>
        <w:spacing w:line="360" w:lineRule="auto"/>
        <w:rPr>
          <w:sz w:val="24"/>
          <w:szCs w:val="24"/>
        </w:rPr>
      </w:pPr>
      <w:r>
        <w:rPr>
          <w:rFonts w:hint="eastAsia"/>
          <w:b/>
          <w:sz w:val="24"/>
        </w:rPr>
        <w:t>采购数量、品种</w:t>
      </w:r>
    </w:p>
    <w:p>
      <w:pPr>
        <w:numPr>
          <w:ilvl w:val="0"/>
          <w:numId w:val="2"/>
        </w:numPr>
        <w:spacing w:line="360" w:lineRule="auto"/>
        <w:rPr>
          <w:rFonts w:hint="eastAsia"/>
          <w:b/>
          <w:sz w:val="24"/>
          <w:lang w:eastAsia="zh-CN"/>
        </w:rPr>
      </w:pPr>
      <w:r>
        <w:rPr>
          <w:rFonts w:hint="eastAsia"/>
          <w:b w:val="0"/>
          <w:bCs/>
          <w:sz w:val="24"/>
          <w:lang w:eastAsia="zh-CN"/>
        </w:rPr>
        <w:t>按附表清单数量报价（见附件</w:t>
      </w:r>
      <w:r>
        <w:rPr>
          <w:rFonts w:hint="eastAsia"/>
          <w:b w:val="0"/>
          <w:bCs/>
          <w:sz w:val="24"/>
          <w:lang w:val="en-US" w:eastAsia="zh-CN"/>
        </w:rPr>
        <w:t>2</w:t>
      </w:r>
      <w:r>
        <w:rPr>
          <w:rFonts w:hint="eastAsia"/>
          <w:b w:val="0"/>
          <w:bCs/>
          <w:sz w:val="24"/>
          <w:lang w:eastAsia="zh-CN"/>
        </w:rPr>
        <w:t>），如甲方</w:t>
      </w:r>
      <w:r>
        <w:rPr>
          <w:rFonts w:hint="eastAsia"/>
          <w:b w:val="0"/>
          <w:bCs/>
          <w:sz w:val="24"/>
          <w:lang w:val="en-US" w:eastAsia="zh-CN"/>
        </w:rPr>
        <w:t>设备调整</w:t>
      </w:r>
      <w:r>
        <w:rPr>
          <w:rFonts w:hint="eastAsia"/>
          <w:b w:val="0"/>
          <w:bCs/>
          <w:sz w:val="24"/>
          <w:lang w:eastAsia="zh-CN"/>
        </w:rPr>
        <w:t>，中标方结算时</w:t>
      </w:r>
      <w:r>
        <w:rPr>
          <w:rFonts w:hint="eastAsia"/>
          <w:b w:val="0"/>
          <w:bCs/>
          <w:sz w:val="24"/>
          <w:lang w:val="en-US" w:eastAsia="zh-CN"/>
        </w:rPr>
        <w:t>按实际数量结算</w:t>
      </w:r>
    </w:p>
    <w:p>
      <w:pPr>
        <w:numPr>
          <w:ilvl w:val="0"/>
          <w:numId w:val="2"/>
        </w:numPr>
        <w:spacing w:line="360" w:lineRule="auto"/>
        <w:rPr>
          <w:rFonts w:hint="eastAsia"/>
          <w:b/>
          <w:sz w:val="24"/>
          <w:lang w:eastAsia="zh-CN"/>
        </w:rPr>
      </w:pPr>
      <w:r>
        <w:rPr>
          <w:rFonts w:hint="eastAsia"/>
          <w:b w:val="0"/>
          <w:bCs/>
          <w:sz w:val="24"/>
          <w:lang w:eastAsia="zh-CN"/>
        </w:rPr>
        <w:t>审计结算</w:t>
      </w:r>
      <w:r>
        <w:rPr>
          <w:rFonts w:hint="eastAsia"/>
          <w:b w:val="0"/>
          <w:bCs/>
          <w:sz w:val="24"/>
        </w:rPr>
        <w:t>：</w:t>
      </w:r>
      <w:r>
        <w:rPr>
          <w:rFonts w:hint="eastAsia"/>
          <w:b w:val="0"/>
          <w:bCs/>
          <w:sz w:val="24"/>
          <w:lang w:eastAsia="zh-CN"/>
        </w:rPr>
        <w:t>固定单价，</w:t>
      </w:r>
      <w:r>
        <w:rPr>
          <w:rFonts w:hint="eastAsia"/>
          <w:sz w:val="24"/>
          <w:lang w:val="en-US" w:eastAsia="zh-CN"/>
        </w:rPr>
        <w:t>最终按实际供货数量结算（</w:t>
      </w:r>
      <w:r>
        <w:rPr>
          <w:rFonts w:hint="eastAsia"/>
          <w:sz w:val="24"/>
          <w:lang w:eastAsia="zh-CN"/>
        </w:rPr>
        <w:t>建设方最迟于交货前</w:t>
      </w:r>
      <w:r>
        <w:rPr>
          <w:rFonts w:hint="eastAsia"/>
          <w:sz w:val="24"/>
          <w:lang w:val="en-US" w:eastAsia="zh-CN"/>
        </w:rPr>
        <w:t>15天确认需要调整的数量，否则按约定的数量结算或需要增补的项目工期顺延），</w:t>
      </w:r>
      <w:r>
        <w:rPr>
          <w:rFonts w:hint="eastAsia"/>
          <w:sz w:val="24"/>
        </w:rPr>
        <w:t>变更的品种单价按照合同中（类似）品种单价确定，并享有一致的下浮率。</w:t>
      </w:r>
    </w:p>
    <w:p>
      <w:pPr>
        <w:numPr>
          <w:ilvl w:val="0"/>
          <w:numId w:val="3"/>
        </w:numPr>
        <w:spacing w:line="360" w:lineRule="auto"/>
        <w:rPr>
          <w:rFonts w:hint="eastAsia"/>
          <w:b/>
          <w:bCs/>
          <w:sz w:val="24"/>
          <w:lang w:val="en-US" w:eastAsia="zh-CN"/>
        </w:rPr>
      </w:pPr>
      <w:r>
        <w:rPr>
          <w:rFonts w:hint="eastAsia"/>
          <w:b/>
          <w:bCs w:val="0"/>
          <w:sz w:val="24"/>
          <w:lang w:val="en-US" w:eastAsia="zh-CN"/>
        </w:rPr>
        <w:t>工作内容及</w:t>
      </w:r>
      <w:r>
        <w:rPr>
          <w:rFonts w:hint="eastAsia"/>
          <w:b/>
          <w:bCs w:val="0"/>
          <w:sz w:val="24"/>
        </w:rPr>
        <w:t>供货时间要求：</w:t>
      </w:r>
    </w:p>
    <w:p>
      <w:pPr>
        <w:numPr>
          <w:ilvl w:val="0"/>
          <w:numId w:val="4"/>
        </w:numPr>
        <w:spacing w:line="360" w:lineRule="auto"/>
        <w:rPr>
          <w:rFonts w:hint="eastAsia"/>
          <w:sz w:val="24"/>
          <w:lang w:val="en-US" w:eastAsia="zh-CN"/>
        </w:rPr>
      </w:pPr>
      <w:r>
        <w:rPr>
          <w:rFonts w:hint="eastAsia"/>
          <w:sz w:val="24"/>
          <w:lang w:eastAsia="zh-CN"/>
        </w:rPr>
        <w:t>排油烟（汽）系统：工期要求配合装饰改造工程进度在吊顶龙骨安装前完成，届时建设方提前</w:t>
      </w:r>
      <w:r>
        <w:rPr>
          <w:rFonts w:hint="eastAsia"/>
          <w:sz w:val="24"/>
          <w:lang w:val="en-US" w:eastAsia="zh-CN"/>
        </w:rPr>
        <w:t>3天通知进场。</w:t>
      </w:r>
    </w:p>
    <w:p>
      <w:pPr>
        <w:numPr>
          <w:ilvl w:val="0"/>
          <w:numId w:val="4"/>
        </w:numPr>
        <w:spacing w:line="360" w:lineRule="auto"/>
        <w:rPr>
          <w:rFonts w:hint="eastAsia"/>
          <w:sz w:val="24"/>
          <w:lang w:val="en-US" w:eastAsia="zh-CN"/>
        </w:rPr>
      </w:pPr>
      <w:r>
        <w:rPr>
          <w:rFonts w:hint="eastAsia"/>
          <w:sz w:val="24"/>
          <w:lang w:val="en-US" w:eastAsia="zh-CN"/>
        </w:rPr>
        <w:t>排油烟风机及油烟净化器（2套）需吊运安装到6层屋顶</w:t>
      </w:r>
    </w:p>
    <w:p>
      <w:pPr>
        <w:numPr>
          <w:ilvl w:val="0"/>
          <w:numId w:val="4"/>
        </w:numPr>
        <w:spacing w:line="360" w:lineRule="auto"/>
        <w:rPr>
          <w:rFonts w:hint="eastAsia"/>
          <w:sz w:val="24"/>
        </w:rPr>
      </w:pPr>
      <w:r>
        <w:rPr>
          <w:rFonts w:hint="eastAsia"/>
          <w:sz w:val="24"/>
          <w:lang w:eastAsia="zh-CN"/>
        </w:rPr>
        <w:t>其他厨房设备：由中标方负责运输就位安装。工期要求：工地现场具备安装条件后即送货到场，届时建设方提前</w:t>
      </w:r>
      <w:r>
        <w:rPr>
          <w:rFonts w:hint="eastAsia"/>
          <w:sz w:val="24"/>
          <w:lang w:val="en-US" w:eastAsia="zh-CN"/>
        </w:rPr>
        <w:t>3天通知。</w:t>
      </w:r>
    </w:p>
    <w:p>
      <w:pPr>
        <w:numPr>
          <w:ilvl w:val="0"/>
          <w:numId w:val="5"/>
        </w:numPr>
        <w:spacing w:line="360" w:lineRule="auto"/>
        <w:rPr>
          <w:rFonts w:hint="eastAsia"/>
          <w:b/>
          <w:bCs/>
          <w:sz w:val="24"/>
          <w:highlight w:val="yellow"/>
          <w:lang w:val="en-US" w:eastAsia="zh-CN"/>
        </w:rPr>
      </w:pPr>
      <w:r>
        <w:rPr>
          <w:rFonts w:hint="eastAsia"/>
          <w:b/>
          <w:bCs/>
          <w:sz w:val="24"/>
          <w:highlight w:val="yellow"/>
          <w:lang w:val="en-US" w:eastAsia="zh-CN"/>
        </w:rPr>
        <w:t>品牌材质要求：</w:t>
      </w:r>
    </w:p>
    <w:p>
      <w:pPr>
        <w:numPr>
          <w:ilvl w:val="0"/>
          <w:numId w:val="6"/>
        </w:numPr>
        <w:spacing w:line="360" w:lineRule="auto"/>
        <w:rPr>
          <w:rFonts w:hint="eastAsia"/>
          <w:b w:val="0"/>
          <w:bCs w:val="0"/>
          <w:sz w:val="24"/>
          <w:lang w:val="en-US" w:eastAsia="zh-CN"/>
        </w:rPr>
      </w:pPr>
      <w:r>
        <w:rPr>
          <w:rFonts w:hint="eastAsia"/>
          <w:b w:val="0"/>
          <w:bCs w:val="0"/>
          <w:sz w:val="24"/>
          <w:lang w:val="en-US" w:eastAsia="zh-CN"/>
        </w:rPr>
        <w:t>明档电热厨房设备（煮面炉、平扒炉）：采用JUST或同档次品牌</w:t>
      </w:r>
    </w:p>
    <w:p>
      <w:pPr>
        <w:numPr>
          <w:ilvl w:val="0"/>
          <w:numId w:val="6"/>
        </w:numPr>
        <w:spacing w:line="360" w:lineRule="auto"/>
        <w:rPr>
          <w:rFonts w:hint="eastAsia"/>
          <w:b w:val="0"/>
          <w:bCs w:val="0"/>
          <w:sz w:val="24"/>
          <w:lang w:val="en-US" w:eastAsia="zh-CN"/>
        </w:rPr>
      </w:pPr>
      <w:r>
        <w:rPr>
          <w:rFonts w:hint="eastAsia"/>
          <w:b w:val="0"/>
          <w:bCs w:val="0"/>
          <w:sz w:val="24"/>
          <w:lang w:val="en-US" w:eastAsia="zh-CN"/>
        </w:rPr>
        <w:t>不锈钢平冷台：国产优质品牌（参考品牌凯琳、诺德或同档次）；直冷式，制冷循环管为</w:t>
      </w:r>
      <w:r>
        <w:rPr>
          <w:rFonts w:hint="eastAsia"/>
          <w:b/>
          <w:bCs/>
          <w:sz w:val="24"/>
          <w:lang w:val="en-US" w:eastAsia="zh-CN"/>
        </w:rPr>
        <w:t>铜管</w:t>
      </w:r>
    </w:p>
    <w:p>
      <w:pPr>
        <w:numPr>
          <w:ilvl w:val="0"/>
          <w:numId w:val="6"/>
        </w:numPr>
        <w:spacing w:line="360" w:lineRule="auto"/>
        <w:rPr>
          <w:rFonts w:hint="eastAsia"/>
          <w:b w:val="0"/>
          <w:bCs w:val="0"/>
          <w:sz w:val="24"/>
          <w:lang w:val="en-US" w:eastAsia="zh-CN"/>
        </w:rPr>
      </w:pPr>
      <w:r>
        <w:rPr>
          <w:rFonts w:hint="eastAsia"/>
          <w:b w:val="0"/>
          <w:bCs w:val="0"/>
          <w:sz w:val="24"/>
          <w:lang w:val="en-US" w:eastAsia="zh-CN"/>
        </w:rPr>
        <w:t>四门（六门）不锈钢冰箱：国产优质品牌（参考品牌凯琳、诺德或同档次）；风冷式，制冷循环管为</w:t>
      </w:r>
      <w:r>
        <w:rPr>
          <w:rFonts w:hint="eastAsia"/>
          <w:b/>
          <w:bCs/>
          <w:sz w:val="24"/>
          <w:lang w:val="en-US" w:eastAsia="zh-CN"/>
        </w:rPr>
        <w:t>铜管</w:t>
      </w:r>
    </w:p>
    <w:p>
      <w:pPr>
        <w:numPr>
          <w:ilvl w:val="0"/>
          <w:numId w:val="6"/>
        </w:numPr>
        <w:spacing w:line="360" w:lineRule="auto"/>
        <w:rPr>
          <w:rFonts w:hint="eastAsia"/>
          <w:b w:val="0"/>
          <w:bCs w:val="0"/>
          <w:sz w:val="24"/>
          <w:lang w:val="en-US" w:eastAsia="zh-CN"/>
        </w:rPr>
      </w:pPr>
      <w:r>
        <w:rPr>
          <w:rFonts w:hint="eastAsia"/>
          <w:b w:val="0"/>
          <w:bCs w:val="0"/>
          <w:sz w:val="24"/>
          <w:lang w:val="en-US" w:eastAsia="zh-CN"/>
        </w:rPr>
        <w:t>电磁炉（电热板）：国产优质品牌，嵌入式商用型，外形为方形或长方形参考品牌：尚客仕或同档次</w:t>
      </w:r>
    </w:p>
    <w:p>
      <w:pPr>
        <w:numPr>
          <w:ilvl w:val="0"/>
          <w:numId w:val="6"/>
        </w:numPr>
        <w:spacing w:line="360" w:lineRule="auto"/>
        <w:rPr>
          <w:rFonts w:hint="eastAsia"/>
          <w:b w:val="0"/>
          <w:bCs w:val="0"/>
          <w:sz w:val="24"/>
          <w:lang w:val="en-US" w:eastAsia="zh-CN"/>
        </w:rPr>
      </w:pPr>
      <w:r>
        <w:rPr>
          <w:rFonts w:hint="eastAsia"/>
          <w:b w:val="0"/>
          <w:bCs w:val="0"/>
          <w:sz w:val="24"/>
          <w:lang w:val="en-US" w:eastAsia="zh-CN"/>
        </w:rPr>
        <w:t>洗碗机：揭盖式，国产优质品牌，参考品牌：西门子、上海威顺或同档次</w:t>
      </w:r>
    </w:p>
    <w:p>
      <w:pPr>
        <w:numPr>
          <w:ilvl w:val="0"/>
          <w:numId w:val="6"/>
        </w:numPr>
        <w:spacing w:line="360" w:lineRule="auto"/>
        <w:rPr>
          <w:rFonts w:hint="eastAsia"/>
          <w:b w:val="0"/>
          <w:bCs w:val="0"/>
          <w:color w:val="FF0000"/>
          <w:sz w:val="24"/>
          <w:lang w:val="en-US" w:eastAsia="zh-CN"/>
        </w:rPr>
      </w:pPr>
      <w:r>
        <w:rPr>
          <w:rFonts w:hint="eastAsia"/>
          <w:b w:val="0"/>
          <w:bCs w:val="0"/>
          <w:sz w:val="24"/>
          <w:lang w:val="en-US" w:eastAsia="zh-CN"/>
        </w:rPr>
        <w:t>不锈钢电磁双炒灶：台面板采用SUS304 2B  1.2mm厚的磨砂贴膜不锈钢板，骨架：采用40*40*5mm角钢及4mm的冷轧钢板焊接而成。炉灶脚可调平。配不锈钢汤罐二只.摇摆龙头二把，</w:t>
      </w:r>
      <w:r>
        <w:rPr>
          <w:rFonts w:hint="eastAsia"/>
          <w:b/>
          <w:bCs/>
          <w:color w:val="FF0000"/>
          <w:sz w:val="24"/>
          <w:lang w:val="en-US" w:eastAsia="zh-CN"/>
        </w:rPr>
        <w:t>炉背后水管采用铜管，并采用不锈钢内丝牙与炉灶焊接</w:t>
      </w:r>
    </w:p>
    <w:p>
      <w:pPr>
        <w:numPr>
          <w:ilvl w:val="0"/>
          <w:numId w:val="6"/>
        </w:numPr>
        <w:spacing w:line="360" w:lineRule="auto"/>
        <w:rPr>
          <w:rFonts w:hint="eastAsia"/>
          <w:b w:val="0"/>
          <w:bCs w:val="0"/>
          <w:sz w:val="24"/>
          <w:lang w:val="en-US" w:eastAsia="zh-CN"/>
        </w:rPr>
      </w:pPr>
      <w:r>
        <w:rPr>
          <w:rFonts w:hint="eastAsia"/>
          <w:b w:val="0"/>
          <w:bCs w:val="0"/>
          <w:sz w:val="24"/>
          <w:lang w:val="en-US" w:eastAsia="zh-CN"/>
        </w:rPr>
        <w:t>排油烟罩：采用SUS304 2B 0.8mm不锈钢板，配不锈钢滴油碗、不锈钢滤油板，照明；含安装</w:t>
      </w:r>
    </w:p>
    <w:p>
      <w:pPr>
        <w:numPr>
          <w:ilvl w:val="0"/>
          <w:numId w:val="6"/>
        </w:numPr>
        <w:spacing w:line="360" w:lineRule="auto"/>
        <w:rPr>
          <w:rFonts w:hint="eastAsia"/>
          <w:b w:val="0"/>
          <w:bCs w:val="0"/>
          <w:sz w:val="24"/>
          <w:lang w:val="en-US" w:eastAsia="zh-CN"/>
        </w:rPr>
      </w:pPr>
      <w:r>
        <w:rPr>
          <w:rFonts w:hint="eastAsia"/>
          <w:b w:val="0"/>
          <w:bCs w:val="0"/>
          <w:sz w:val="24"/>
          <w:lang w:val="en-US" w:eastAsia="zh-CN"/>
        </w:rPr>
        <w:t>排油烟风管：采用0.8mm镀锌钢板（含弯头等附件），三号角铁法兰，二次防锈油漆，含安装</w:t>
      </w:r>
    </w:p>
    <w:p>
      <w:pPr>
        <w:numPr>
          <w:ilvl w:val="0"/>
          <w:numId w:val="6"/>
        </w:numPr>
        <w:spacing w:line="360" w:lineRule="auto"/>
        <w:rPr>
          <w:rFonts w:hint="eastAsia"/>
          <w:b w:val="0"/>
          <w:bCs w:val="0"/>
          <w:sz w:val="24"/>
          <w:lang w:val="en-US" w:eastAsia="zh-CN"/>
        </w:rPr>
      </w:pPr>
      <w:r>
        <w:rPr>
          <w:rFonts w:hint="eastAsia"/>
          <w:b w:val="0"/>
          <w:bCs w:val="0"/>
          <w:sz w:val="24"/>
          <w:lang w:val="en-US" w:eastAsia="zh-CN"/>
        </w:rPr>
        <w:t>排油烟风机、油烟进化器：国产优质品牌，参考品牌益通亿达、德粤或同档次</w:t>
      </w:r>
    </w:p>
    <w:p>
      <w:pPr>
        <w:numPr>
          <w:ilvl w:val="0"/>
          <w:numId w:val="6"/>
        </w:numPr>
        <w:spacing w:line="360" w:lineRule="auto"/>
        <w:rPr>
          <w:rFonts w:hint="eastAsia"/>
          <w:b w:val="0"/>
          <w:bCs w:val="0"/>
          <w:sz w:val="24"/>
          <w:lang w:val="en-US" w:eastAsia="zh-CN"/>
        </w:rPr>
      </w:pPr>
      <w:r>
        <w:rPr>
          <w:rFonts w:hint="eastAsia"/>
          <w:b w:val="0"/>
          <w:bCs w:val="0"/>
          <w:sz w:val="24"/>
          <w:lang w:val="en-US" w:eastAsia="zh-CN"/>
        </w:rPr>
        <w:t>其他自制不锈钢制品：采用SUS304 2B 1.2mm不锈钢板制作</w:t>
      </w:r>
    </w:p>
    <w:p>
      <w:pPr>
        <w:numPr>
          <w:ilvl w:val="0"/>
          <w:numId w:val="6"/>
        </w:numPr>
        <w:spacing w:line="360" w:lineRule="auto"/>
        <w:rPr>
          <w:rFonts w:hint="eastAsia"/>
          <w:b/>
          <w:bCs/>
          <w:sz w:val="24"/>
          <w:lang w:val="en-US" w:eastAsia="zh-CN"/>
        </w:rPr>
      </w:pPr>
      <w:r>
        <w:rPr>
          <w:rFonts w:hint="eastAsia"/>
          <w:b w:val="0"/>
          <w:bCs w:val="0"/>
          <w:sz w:val="24"/>
          <w:lang w:val="en-US" w:eastAsia="zh-CN"/>
        </w:rPr>
        <w:t>嵌入式水池：采用304#1.0mm不锈钢或符合要求的成品不锈钢盆，配国产优质厨房专用不锈钢水龙头、下水器、铜质冷热水角阀及相应的金属软管</w:t>
      </w:r>
    </w:p>
    <w:p>
      <w:pPr>
        <w:numPr>
          <w:ilvl w:val="0"/>
          <w:numId w:val="0"/>
        </w:numPr>
        <w:spacing w:line="360" w:lineRule="auto"/>
        <w:rPr>
          <w:rFonts w:hint="eastAsia"/>
          <w:b/>
          <w:bCs/>
          <w:sz w:val="24"/>
          <w:lang w:val="en-US" w:eastAsia="zh-CN"/>
        </w:rPr>
      </w:pPr>
      <w:r>
        <w:rPr>
          <w:rFonts w:hint="eastAsia"/>
          <w:b/>
          <w:bCs/>
          <w:sz w:val="24"/>
          <w:lang w:val="en-US" w:eastAsia="zh-CN"/>
        </w:rPr>
        <w:t>5、其他说明</w:t>
      </w:r>
    </w:p>
    <w:p>
      <w:pPr>
        <w:numPr>
          <w:ilvl w:val="0"/>
          <w:numId w:val="0"/>
        </w:numPr>
        <w:spacing w:line="360" w:lineRule="auto"/>
        <w:rPr>
          <w:rFonts w:hint="eastAsia"/>
          <w:sz w:val="24"/>
          <w:szCs w:val="24"/>
          <w:lang w:eastAsia="zh-CN"/>
        </w:rPr>
      </w:pPr>
      <w:r>
        <w:rPr>
          <w:rFonts w:hint="eastAsia"/>
          <w:sz w:val="24"/>
          <w:szCs w:val="24"/>
          <w:lang w:val="en-US" w:eastAsia="zh-CN"/>
        </w:rPr>
        <w:t>（1） 乙方提供设备</w:t>
      </w:r>
      <w:r>
        <w:rPr>
          <w:rFonts w:hint="eastAsia"/>
          <w:sz w:val="24"/>
          <w:szCs w:val="24"/>
          <w:lang w:eastAsia="zh-CN"/>
        </w:rPr>
        <w:t>质量保修期为一年，详见附件</w:t>
      </w:r>
      <w:r>
        <w:rPr>
          <w:rFonts w:hint="eastAsia"/>
          <w:sz w:val="24"/>
          <w:szCs w:val="24"/>
          <w:lang w:val="en-US" w:eastAsia="zh-CN"/>
        </w:rPr>
        <w:t xml:space="preserve">2。 </w:t>
      </w:r>
      <w:r>
        <w:rPr>
          <w:rFonts w:hint="eastAsia"/>
          <w:sz w:val="24"/>
          <w:szCs w:val="24"/>
        </w:rPr>
        <w:t>如</w:t>
      </w:r>
      <w:r>
        <w:rPr>
          <w:rFonts w:hint="eastAsia"/>
          <w:sz w:val="24"/>
          <w:szCs w:val="24"/>
          <w:lang w:eastAsia="zh-CN"/>
        </w:rPr>
        <w:t>乙方</w:t>
      </w:r>
      <w:r>
        <w:rPr>
          <w:rFonts w:hint="eastAsia"/>
          <w:sz w:val="24"/>
          <w:szCs w:val="24"/>
        </w:rPr>
        <w:t>使用劣质</w:t>
      </w:r>
      <w:r>
        <w:rPr>
          <w:rFonts w:hint="eastAsia"/>
          <w:sz w:val="24"/>
          <w:szCs w:val="24"/>
          <w:lang w:eastAsia="zh-CN"/>
        </w:rPr>
        <w:t>设备</w:t>
      </w:r>
      <w:r>
        <w:rPr>
          <w:rFonts w:hint="eastAsia"/>
          <w:sz w:val="24"/>
          <w:szCs w:val="24"/>
        </w:rPr>
        <w:t>材料，</w:t>
      </w:r>
      <w:r>
        <w:rPr>
          <w:rFonts w:hint="eastAsia"/>
          <w:sz w:val="24"/>
          <w:szCs w:val="24"/>
          <w:lang w:eastAsia="zh-CN"/>
        </w:rPr>
        <w:t>甲</w:t>
      </w:r>
      <w:r>
        <w:rPr>
          <w:rFonts w:hint="eastAsia"/>
          <w:sz w:val="24"/>
          <w:szCs w:val="24"/>
        </w:rPr>
        <w:t>方每发现（包括在工程竣工验收后发现的）一次，</w:t>
      </w:r>
      <w:r>
        <w:rPr>
          <w:rFonts w:hint="eastAsia"/>
          <w:sz w:val="24"/>
          <w:szCs w:val="24"/>
          <w:highlight w:val="yellow"/>
          <w:lang w:eastAsia="zh-CN"/>
        </w:rPr>
        <w:t>乙</w:t>
      </w:r>
      <w:r>
        <w:rPr>
          <w:rFonts w:hint="eastAsia"/>
          <w:sz w:val="24"/>
          <w:szCs w:val="24"/>
          <w:highlight w:val="yellow"/>
        </w:rPr>
        <w:t>方应承担3万元违约金</w:t>
      </w:r>
      <w:r>
        <w:rPr>
          <w:rFonts w:hint="eastAsia"/>
          <w:sz w:val="24"/>
          <w:szCs w:val="24"/>
        </w:rPr>
        <w:t>，甲方有权要求乙方更换或承担更换所发生的费用。</w:t>
      </w:r>
      <w:r>
        <w:rPr>
          <w:rFonts w:hint="eastAsia"/>
          <w:sz w:val="24"/>
          <w:szCs w:val="24"/>
          <w:lang w:val="en-US" w:eastAsia="zh-CN"/>
        </w:rPr>
        <w:t>。</w:t>
      </w:r>
    </w:p>
    <w:p>
      <w:pPr>
        <w:numPr>
          <w:ilvl w:val="0"/>
          <w:numId w:val="0"/>
        </w:numPr>
        <w:spacing w:line="360" w:lineRule="auto"/>
        <w:rPr>
          <w:rFonts w:hint="eastAsia"/>
          <w:sz w:val="24"/>
          <w:szCs w:val="24"/>
          <w:lang w:eastAsia="zh-CN"/>
        </w:rPr>
      </w:pPr>
      <w:r>
        <w:rPr>
          <w:rFonts w:hint="eastAsia"/>
          <w:sz w:val="24"/>
          <w:szCs w:val="24"/>
          <w:lang w:eastAsia="zh-CN"/>
        </w:rPr>
        <w:t>（</w:t>
      </w:r>
      <w:r>
        <w:rPr>
          <w:rFonts w:hint="eastAsia"/>
          <w:sz w:val="24"/>
          <w:szCs w:val="24"/>
          <w:lang w:val="en-US" w:eastAsia="zh-CN"/>
        </w:rPr>
        <w:t>2</w:t>
      </w:r>
      <w:r>
        <w:rPr>
          <w:rFonts w:hint="eastAsia"/>
          <w:sz w:val="24"/>
          <w:szCs w:val="24"/>
          <w:lang w:eastAsia="zh-CN"/>
        </w:rPr>
        <w:t>）所提供设备附有使用说明书及合格证等设备资料一并移交建设单位。</w:t>
      </w:r>
    </w:p>
    <w:p>
      <w:pPr>
        <w:numPr>
          <w:ilvl w:val="0"/>
          <w:numId w:val="0"/>
        </w:numPr>
        <w:spacing w:line="360" w:lineRule="auto"/>
        <w:rPr>
          <w:rFonts w:hint="eastAsia"/>
          <w:sz w:val="24"/>
          <w:szCs w:val="24"/>
          <w:lang w:val="en-US" w:eastAsia="zh-CN"/>
        </w:rPr>
      </w:pPr>
      <w:r>
        <w:rPr>
          <w:rFonts w:hint="eastAsia"/>
          <w:sz w:val="24"/>
          <w:szCs w:val="24"/>
          <w:lang w:eastAsia="zh-CN"/>
        </w:rPr>
        <w:t>（</w:t>
      </w:r>
      <w:r>
        <w:rPr>
          <w:rFonts w:hint="eastAsia"/>
          <w:sz w:val="24"/>
          <w:szCs w:val="24"/>
          <w:lang w:val="en-US" w:eastAsia="zh-CN"/>
        </w:rPr>
        <w:t>3</w:t>
      </w:r>
      <w:r>
        <w:rPr>
          <w:rFonts w:hint="eastAsia"/>
          <w:sz w:val="24"/>
          <w:szCs w:val="24"/>
          <w:lang w:eastAsia="zh-CN"/>
        </w:rPr>
        <w:t>）</w:t>
      </w:r>
      <w:r>
        <w:rPr>
          <w:rFonts w:hint="eastAsia"/>
          <w:sz w:val="24"/>
          <w:szCs w:val="24"/>
        </w:rPr>
        <w:t>承包人不得转包工程，更不得分包主体工程，如一经查实，发包人有权中止合同，因此带来的一切经济损失由承包人承担</w:t>
      </w:r>
    </w:p>
    <w:p>
      <w:pPr>
        <w:numPr>
          <w:ilvl w:val="0"/>
          <w:numId w:val="0"/>
        </w:numPr>
        <w:spacing w:line="360" w:lineRule="auto"/>
        <w:rPr>
          <w:rFonts w:hint="eastAsia"/>
          <w:sz w:val="24"/>
          <w:szCs w:val="24"/>
          <w:lang w:val="en-US" w:eastAsia="zh-CN"/>
        </w:rPr>
      </w:pPr>
      <w:r>
        <w:rPr>
          <w:rFonts w:hint="eastAsia"/>
          <w:sz w:val="24"/>
          <w:szCs w:val="24"/>
          <w:lang w:eastAsia="zh-CN"/>
        </w:rPr>
        <w:t>（</w:t>
      </w:r>
      <w:r>
        <w:rPr>
          <w:rFonts w:hint="eastAsia"/>
          <w:sz w:val="24"/>
          <w:szCs w:val="24"/>
          <w:lang w:val="en-US" w:eastAsia="zh-CN"/>
        </w:rPr>
        <w:t>4</w:t>
      </w:r>
      <w:r>
        <w:rPr>
          <w:rFonts w:hint="eastAsia"/>
          <w:sz w:val="24"/>
          <w:szCs w:val="24"/>
          <w:lang w:eastAsia="zh-CN"/>
        </w:rPr>
        <w:t>）</w:t>
      </w:r>
      <w:r>
        <w:rPr>
          <w:rFonts w:hint="eastAsia"/>
          <w:sz w:val="24"/>
          <w:szCs w:val="24"/>
        </w:rPr>
        <w:t>竞争报价费用：竞争报价人承担其编制竞争报价文件及递交报价文件的一切费用，无论结果如何，询价人对上述费用不负任何责任。</w:t>
      </w:r>
    </w:p>
    <w:p>
      <w:pPr>
        <w:numPr>
          <w:ilvl w:val="0"/>
          <w:numId w:val="0"/>
        </w:numPr>
        <w:spacing w:line="360" w:lineRule="auto"/>
        <w:rPr>
          <w:rFonts w:hint="eastAsia"/>
          <w:sz w:val="24"/>
          <w:szCs w:val="24"/>
          <w:lang w:val="en-US" w:eastAsia="zh-CN"/>
        </w:rPr>
      </w:pPr>
      <w:r>
        <w:rPr>
          <w:rFonts w:hint="eastAsia"/>
          <w:sz w:val="24"/>
          <w:szCs w:val="24"/>
          <w:lang w:eastAsia="zh-CN"/>
        </w:rPr>
        <w:t>（</w:t>
      </w:r>
      <w:r>
        <w:rPr>
          <w:rFonts w:hint="eastAsia"/>
          <w:sz w:val="24"/>
          <w:szCs w:val="24"/>
          <w:lang w:val="en-US" w:eastAsia="zh-CN"/>
        </w:rPr>
        <w:t>5</w:t>
      </w:r>
      <w:r>
        <w:rPr>
          <w:rFonts w:hint="eastAsia"/>
          <w:sz w:val="24"/>
          <w:szCs w:val="24"/>
          <w:lang w:eastAsia="zh-CN"/>
        </w:rPr>
        <w:t>）</w:t>
      </w:r>
      <w:r>
        <w:rPr>
          <w:rFonts w:hint="eastAsia"/>
          <w:sz w:val="24"/>
          <w:szCs w:val="24"/>
        </w:rPr>
        <w:t>投标报价文件分“正本”和“副本”，正本壹份、副本两份。分别装订成册，并在封面上正确标明。正、副本不一致时，以正本为准。</w:t>
      </w:r>
    </w:p>
    <w:p>
      <w:pPr>
        <w:numPr>
          <w:ilvl w:val="0"/>
          <w:numId w:val="0"/>
        </w:numPr>
        <w:spacing w:line="360" w:lineRule="auto"/>
        <w:rPr>
          <w:rFonts w:hint="eastAsia"/>
          <w:sz w:val="24"/>
          <w:szCs w:val="24"/>
          <w:lang w:val="en-US" w:eastAsia="zh-CN"/>
        </w:rPr>
      </w:pPr>
      <w:r>
        <w:rPr>
          <w:rFonts w:hint="eastAsia"/>
          <w:sz w:val="24"/>
          <w:szCs w:val="24"/>
          <w:lang w:eastAsia="zh-CN"/>
        </w:rPr>
        <w:t>（</w:t>
      </w:r>
      <w:r>
        <w:rPr>
          <w:rFonts w:hint="eastAsia"/>
          <w:sz w:val="24"/>
          <w:szCs w:val="24"/>
          <w:lang w:val="en-US" w:eastAsia="zh-CN"/>
        </w:rPr>
        <w:t>6</w:t>
      </w:r>
      <w:r>
        <w:rPr>
          <w:rFonts w:hint="eastAsia"/>
          <w:sz w:val="24"/>
          <w:szCs w:val="24"/>
          <w:lang w:eastAsia="zh-CN"/>
        </w:rPr>
        <w:t>）</w:t>
      </w:r>
      <w:r>
        <w:rPr>
          <w:rFonts w:hint="eastAsia"/>
          <w:sz w:val="24"/>
          <w:szCs w:val="24"/>
        </w:rPr>
        <w:t>全套投标报价文件应无修改和行间插字，如有修改，须在修改处加盖竞争报价单位法定代表人或其委托代理人印鉴。</w:t>
      </w:r>
    </w:p>
    <w:p>
      <w:pPr>
        <w:numPr>
          <w:ilvl w:val="0"/>
          <w:numId w:val="0"/>
        </w:numPr>
        <w:spacing w:line="360" w:lineRule="auto"/>
        <w:rPr>
          <w:rFonts w:hint="eastAsia"/>
          <w:sz w:val="24"/>
          <w:szCs w:val="24"/>
          <w:lang w:val="en-US" w:eastAsia="zh-CN"/>
        </w:rPr>
      </w:pPr>
      <w:r>
        <w:rPr>
          <w:rFonts w:hint="eastAsia"/>
          <w:sz w:val="24"/>
          <w:szCs w:val="24"/>
          <w:lang w:eastAsia="zh-CN"/>
        </w:rPr>
        <w:t>（</w:t>
      </w:r>
      <w:r>
        <w:rPr>
          <w:rFonts w:hint="eastAsia"/>
          <w:sz w:val="24"/>
          <w:szCs w:val="24"/>
          <w:lang w:val="en-US" w:eastAsia="zh-CN"/>
        </w:rPr>
        <w:t>7</w:t>
      </w:r>
      <w:r>
        <w:rPr>
          <w:rFonts w:hint="eastAsia"/>
          <w:sz w:val="24"/>
          <w:szCs w:val="24"/>
          <w:lang w:eastAsia="zh-CN"/>
        </w:rPr>
        <w:t>）</w:t>
      </w:r>
      <w:r>
        <w:rPr>
          <w:rFonts w:hint="eastAsia"/>
          <w:sz w:val="24"/>
          <w:szCs w:val="24"/>
        </w:rPr>
        <w:t>投标人应将报价文件用封袋密封，封袋上应写明建设单位名称、工程名称。竞争报价人必须在骑缝处加盖投标人公章及法人代表或法人代表委托人私章。</w:t>
      </w:r>
    </w:p>
    <w:p>
      <w:pPr>
        <w:numPr>
          <w:ilvl w:val="0"/>
          <w:numId w:val="0"/>
        </w:numPr>
        <w:spacing w:line="360" w:lineRule="auto"/>
        <w:rPr>
          <w:rFonts w:hint="eastAsia"/>
          <w:sz w:val="24"/>
          <w:szCs w:val="24"/>
          <w:lang w:val="en-US" w:eastAsia="zh-CN"/>
        </w:rPr>
      </w:pPr>
      <w:r>
        <w:rPr>
          <w:rFonts w:hint="eastAsia"/>
          <w:sz w:val="24"/>
          <w:szCs w:val="24"/>
          <w:lang w:eastAsia="zh-CN"/>
        </w:rPr>
        <w:t>（</w:t>
      </w:r>
      <w:r>
        <w:rPr>
          <w:rFonts w:hint="eastAsia"/>
          <w:sz w:val="24"/>
          <w:szCs w:val="24"/>
          <w:lang w:val="en-US" w:eastAsia="zh-CN"/>
        </w:rPr>
        <w:t>8</w:t>
      </w:r>
      <w:r>
        <w:rPr>
          <w:rFonts w:hint="eastAsia"/>
          <w:sz w:val="24"/>
          <w:szCs w:val="24"/>
          <w:lang w:eastAsia="zh-CN"/>
        </w:rPr>
        <w:t>）</w:t>
      </w:r>
      <w:r>
        <w:rPr>
          <w:rFonts w:hint="eastAsia"/>
          <w:sz w:val="24"/>
          <w:szCs w:val="24"/>
        </w:rPr>
        <w:t>投标报价应按投标报价须知前附表中所规定的地点，于截止时间前提交竞争报价文件，截止时间以后收到的竞争报价文件将被拒绝。</w:t>
      </w:r>
    </w:p>
    <w:p>
      <w:pPr>
        <w:numPr>
          <w:ilvl w:val="0"/>
          <w:numId w:val="0"/>
        </w:numPr>
        <w:spacing w:line="360" w:lineRule="auto"/>
        <w:rPr>
          <w:rFonts w:hint="eastAsia"/>
          <w:sz w:val="24"/>
          <w:szCs w:val="24"/>
          <w:lang w:eastAsia="zh-CN"/>
        </w:rPr>
      </w:pPr>
      <w:r>
        <w:rPr>
          <w:rFonts w:hint="eastAsia"/>
          <w:sz w:val="24"/>
          <w:szCs w:val="24"/>
          <w:lang w:eastAsia="zh-CN"/>
        </w:rPr>
        <w:t>（</w:t>
      </w:r>
      <w:r>
        <w:rPr>
          <w:rFonts w:hint="eastAsia"/>
          <w:sz w:val="24"/>
          <w:szCs w:val="24"/>
          <w:lang w:val="en-US" w:eastAsia="zh-CN"/>
        </w:rPr>
        <w:t>9</w:t>
      </w:r>
      <w:r>
        <w:rPr>
          <w:rFonts w:hint="eastAsia"/>
          <w:sz w:val="24"/>
          <w:szCs w:val="24"/>
          <w:lang w:eastAsia="zh-CN"/>
        </w:rPr>
        <w:t>）</w:t>
      </w:r>
      <w:r>
        <w:rPr>
          <w:rFonts w:hint="eastAsia"/>
          <w:sz w:val="24"/>
          <w:szCs w:val="24"/>
        </w:rPr>
        <w:t>竞争报价人在收到本文件后，如有疑问需要澄清，应于</w:t>
      </w:r>
      <w:r>
        <w:rPr>
          <w:rFonts w:hint="eastAsia"/>
          <w:b/>
          <w:bCs/>
          <w:color w:val="FF0000"/>
          <w:sz w:val="24"/>
          <w:szCs w:val="24"/>
        </w:rPr>
        <w:t>20</w:t>
      </w:r>
      <w:r>
        <w:rPr>
          <w:rFonts w:hint="eastAsia"/>
          <w:b/>
          <w:bCs/>
          <w:color w:val="FF0000"/>
          <w:sz w:val="24"/>
          <w:szCs w:val="24"/>
          <w:lang w:val="en-US" w:eastAsia="zh-CN"/>
        </w:rPr>
        <w:t>20</w:t>
      </w:r>
      <w:r>
        <w:rPr>
          <w:rFonts w:hint="eastAsia"/>
          <w:b/>
          <w:bCs/>
          <w:color w:val="FF0000"/>
          <w:sz w:val="24"/>
          <w:szCs w:val="24"/>
        </w:rPr>
        <w:t>年</w:t>
      </w:r>
      <w:r>
        <w:rPr>
          <w:rFonts w:hint="eastAsia"/>
          <w:b/>
          <w:bCs/>
          <w:color w:val="FF0000"/>
          <w:sz w:val="24"/>
          <w:szCs w:val="24"/>
          <w:lang w:val="en-US" w:eastAsia="zh-CN"/>
        </w:rPr>
        <w:t xml:space="preserve">5 </w:t>
      </w:r>
      <w:r>
        <w:rPr>
          <w:rFonts w:hint="eastAsia"/>
          <w:b/>
          <w:bCs/>
          <w:color w:val="FF0000"/>
          <w:sz w:val="24"/>
          <w:szCs w:val="24"/>
        </w:rPr>
        <w:t>月</w:t>
      </w:r>
      <w:r>
        <w:rPr>
          <w:rFonts w:hint="eastAsia"/>
          <w:b/>
          <w:bCs/>
          <w:color w:val="FF0000"/>
          <w:sz w:val="24"/>
          <w:szCs w:val="24"/>
          <w:lang w:val="en-US" w:eastAsia="zh-CN"/>
        </w:rPr>
        <w:t xml:space="preserve">30 </w:t>
      </w:r>
      <w:r>
        <w:rPr>
          <w:rFonts w:hint="eastAsia"/>
          <w:b/>
          <w:bCs/>
          <w:color w:val="FF0000"/>
          <w:sz w:val="24"/>
          <w:szCs w:val="24"/>
        </w:rPr>
        <w:t>日</w:t>
      </w:r>
      <w:r>
        <w:rPr>
          <w:rFonts w:hint="eastAsia"/>
          <w:sz w:val="24"/>
          <w:szCs w:val="24"/>
        </w:rPr>
        <w:t>上午11时</w:t>
      </w:r>
      <w:r>
        <w:rPr>
          <w:rFonts w:hint="eastAsia"/>
          <w:sz w:val="24"/>
          <w:szCs w:val="24"/>
          <w:lang w:eastAsia="zh-CN"/>
        </w:rPr>
        <w:t>前</w:t>
      </w:r>
      <w:r>
        <w:rPr>
          <w:rFonts w:hint="eastAsia"/>
          <w:sz w:val="24"/>
          <w:szCs w:val="24"/>
        </w:rPr>
        <w:t>以电子邮件形式发到hqec@soocor.com和hqps@soocor.com邮箱。项目部经整理后统一通过电子邮件回复</w:t>
      </w:r>
      <w:r>
        <w:rPr>
          <w:rFonts w:hint="eastAsia"/>
          <w:sz w:val="24"/>
          <w:szCs w:val="24"/>
          <w:lang w:eastAsia="zh-CN"/>
        </w:rPr>
        <w:t>。</w:t>
      </w:r>
    </w:p>
    <w:p>
      <w:pPr>
        <w:jc w:val="both"/>
        <w:rPr>
          <w:rFonts w:hint="eastAsia"/>
          <w:b/>
          <w:lang w:val="en-US" w:eastAsia="zh-CN"/>
        </w:rPr>
      </w:pPr>
    </w:p>
    <w:p>
      <w:pPr>
        <w:widowControl w:val="0"/>
        <w:numPr>
          <w:ilvl w:val="0"/>
          <w:numId w:val="0"/>
        </w:numPr>
        <w:jc w:val="both"/>
        <w:rPr>
          <w:rFonts w:hint="eastAsia"/>
          <w:b/>
          <w:lang w:val="en-US" w:eastAsia="zh-CN"/>
        </w:rPr>
      </w:pPr>
    </w:p>
    <w:p>
      <w:pPr>
        <w:ind w:firstLine="420" w:firstLineChars="200"/>
        <w:rPr>
          <w:rFonts w:hint="eastAsia"/>
          <w:lang w:val="en-US" w:eastAsia="zh-CN"/>
        </w:rPr>
      </w:pPr>
      <w:r>
        <w:rPr>
          <w:rFonts w:hint="eastAsia"/>
          <w:lang w:eastAsia="zh-CN"/>
        </w:rPr>
        <w:t>附件</w:t>
      </w:r>
      <w:r>
        <w:rPr>
          <w:rFonts w:hint="eastAsia"/>
          <w:lang w:val="en-US" w:eastAsia="zh-CN"/>
        </w:rPr>
        <w:t>1、</w:t>
      </w:r>
    </w:p>
    <w:p>
      <w:pPr>
        <w:adjustRightInd w:val="0"/>
        <w:snapToGrid w:val="0"/>
        <w:spacing w:line="360" w:lineRule="auto"/>
        <w:ind w:left="-4" w:leftChars="-2" w:firstLine="2640" w:firstLineChars="880"/>
        <w:rPr>
          <w:rFonts w:ascii="黑体" w:hAnsi="宋体" w:eastAsia="黑体"/>
          <w:sz w:val="30"/>
          <w:szCs w:val="30"/>
        </w:rPr>
      </w:pPr>
      <w:r>
        <w:rPr>
          <w:rFonts w:hint="eastAsia" w:ascii="黑体" w:hAnsi="宋体" w:eastAsia="黑体"/>
          <w:sz w:val="30"/>
          <w:szCs w:val="30"/>
        </w:rPr>
        <w:t>工程质量保修书</w:t>
      </w:r>
    </w:p>
    <w:p>
      <w:pPr>
        <w:adjustRightInd w:val="0"/>
        <w:snapToGrid w:val="0"/>
        <w:spacing w:line="360" w:lineRule="auto"/>
        <w:ind w:left="-4" w:leftChars="-2" w:firstLine="273" w:firstLineChars="130"/>
        <w:rPr>
          <w:rFonts w:ascii="宋体" w:hAnsi="宋体"/>
          <w:szCs w:val="21"/>
          <w:u w:val="single"/>
        </w:rPr>
      </w:pPr>
      <w:r>
        <w:rPr>
          <w:rFonts w:hint="eastAsia" w:ascii="宋体" w:hAnsi="宋体"/>
          <w:szCs w:val="21"/>
        </w:rPr>
        <w:t>甲方（全称）：</w:t>
      </w:r>
      <w:r>
        <w:rPr>
          <w:rFonts w:hint="eastAsia" w:ascii="宋体" w:hAnsi="宋体"/>
          <w:b/>
          <w:szCs w:val="21"/>
          <w:u w:val="single"/>
          <w:lang w:val="en-US" w:eastAsia="zh-CN"/>
        </w:rPr>
        <w:t>昆山</w:t>
      </w:r>
      <w:r>
        <w:rPr>
          <w:rFonts w:hint="eastAsia" w:ascii="宋体" w:hAnsi="宋体"/>
          <w:b/>
          <w:szCs w:val="21"/>
          <w:u w:val="single"/>
          <w:lang w:eastAsia="zh-CN"/>
        </w:rPr>
        <w:t>周庄书香府邸管理有限公司</w:t>
      </w:r>
      <w:r>
        <w:rPr>
          <w:rFonts w:hint="eastAsia" w:ascii="宋体" w:hAnsi="宋体"/>
          <w:szCs w:val="21"/>
        </w:rPr>
        <w:t>乙方（全称）：</w:t>
      </w:r>
    </w:p>
    <w:p>
      <w:pPr>
        <w:adjustRightInd w:val="0"/>
        <w:snapToGrid w:val="0"/>
        <w:spacing w:line="360" w:lineRule="auto"/>
        <w:ind w:left="-4" w:leftChars="-2" w:firstLine="273" w:firstLineChars="130"/>
        <w:rPr>
          <w:rFonts w:ascii="宋体" w:hAnsi="宋体"/>
          <w:szCs w:val="21"/>
        </w:rPr>
      </w:pPr>
      <w:r>
        <w:rPr>
          <w:rFonts w:hint="eastAsia" w:ascii="宋体" w:hAnsi="宋体"/>
          <w:szCs w:val="21"/>
        </w:rPr>
        <w:t xml:space="preserve"> 为保证</w:t>
      </w:r>
      <w:r>
        <w:rPr>
          <w:rFonts w:hint="eastAsia" w:ascii="宋体" w:hAnsi="宋体"/>
          <w:b/>
          <w:szCs w:val="21"/>
          <w:u w:val="single"/>
          <w:lang w:eastAsia="zh-CN"/>
        </w:rPr>
        <w:t>周庄书香府邸厨房设备采购</w:t>
      </w:r>
      <w:r>
        <w:rPr>
          <w:rFonts w:hint="eastAsia" w:ascii="宋体" w:hAnsi="宋体"/>
          <w:szCs w:val="21"/>
        </w:rPr>
        <w:t>（工程名称）在合理使用期限内正常使用，甲乙双方协商一致签定工程质量保修书。乙方在质量保修期内按照有关管理规定及双方约定承担工程质量保修责任。</w:t>
      </w:r>
    </w:p>
    <w:p>
      <w:pPr>
        <w:adjustRightInd w:val="0"/>
        <w:snapToGrid w:val="0"/>
        <w:spacing w:line="360" w:lineRule="auto"/>
        <w:ind w:firstLine="420" w:firstLineChars="200"/>
        <w:rPr>
          <w:rFonts w:ascii="宋体" w:hAnsi="宋体"/>
          <w:b/>
          <w:bCs/>
          <w:szCs w:val="21"/>
        </w:rPr>
      </w:pPr>
      <w:r>
        <w:rPr>
          <w:rFonts w:hint="eastAsia" w:ascii="宋体" w:hAnsi="宋体"/>
          <w:szCs w:val="21"/>
        </w:rPr>
        <w:t>一、</w:t>
      </w:r>
      <w:r>
        <w:rPr>
          <w:rFonts w:hint="eastAsia" w:ascii="宋体" w:hAnsi="宋体"/>
          <w:b/>
          <w:bCs/>
          <w:szCs w:val="21"/>
        </w:rPr>
        <w:t>工程质量保修范围和内容</w:t>
      </w:r>
    </w:p>
    <w:p>
      <w:pPr>
        <w:adjustRightInd w:val="0"/>
        <w:snapToGrid w:val="0"/>
        <w:spacing w:line="360" w:lineRule="auto"/>
        <w:rPr>
          <w:rFonts w:ascii="宋体" w:hAnsi="宋体"/>
          <w:szCs w:val="21"/>
        </w:rPr>
      </w:pPr>
      <w:r>
        <w:rPr>
          <w:rFonts w:hint="eastAsia" w:ascii="宋体" w:hAnsi="宋体"/>
          <w:szCs w:val="21"/>
        </w:rPr>
        <w:t xml:space="preserve">    质量保修范围包括本项目全部工程。具体质量保修内容：</w:t>
      </w:r>
      <w:r>
        <w:rPr>
          <w:rFonts w:hint="eastAsia" w:ascii="宋体" w:hAnsi="宋体"/>
          <w:szCs w:val="21"/>
          <w:u w:val="single"/>
        </w:rPr>
        <w:t>乙方承包范围内的工程质量保修（日常易耗品除外）。</w:t>
      </w:r>
    </w:p>
    <w:p>
      <w:pPr>
        <w:adjustRightInd w:val="0"/>
        <w:snapToGrid w:val="0"/>
        <w:spacing w:line="360" w:lineRule="auto"/>
        <w:ind w:firstLine="422" w:firstLineChars="200"/>
        <w:rPr>
          <w:rFonts w:ascii="宋体" w:hAnsi="宋体"/>
          <w:szCs w:val="21"/>
        </w:rPr>
      </w:pPr>
      <w:r>
        <w:rPr>
          <w:rFonts w:hint="eastAsia" w:ascii="宋体" w:hAnsi="宋体"/>
          <w:b/>
          <w:bCs/>
          <w:szCs w:val="21"/>
        </w:rPr>
        <w:t>二、质量保修期</w:t>
      </w:r>
    </w:p>
    <w:p>
      <w:pPr>
        <w:adjustRightInd w:val="0"/>
        <w:snapToGrid w:val="0"/>
        <w:spacing w:line="360" w:lineRule="auto"/>
        <w:ind w:firstLine="422" w:firstLineChars="200"/>
        <w:rPr>
          <w:rFonts w:ascii="宋体" w:hAnsi="宋体"/>
          <w:szCs w:val="21"/>
        </w:rPr>
      </w:pPr>
      <w:r>
        <w:rPr>
          <w:rFonts w:hint="eastAsia"/>
          <w:b/>
          <w:bCs/>
          <w:szCs w:val="21"/>
          <w:highlight w:val="yellow"/>
        </w:rPr>
        <w:t>双方约定</w:t>
      </w:r>
      <w:r>
        <w:rPr>
          <w:rFonts w:hint="eastAsia"/>
          <w:b/>
          <w:bCs/>
          <w:szCs w:val="21"/>
          <w:highlight w:val="yellow"/>
          <w:lang w:eastAsia="zh-CN"/>
        </w:rPr>
        <w:t>：</w:t>
      </w:r>
      <w:r>
        <w:rPr>
          <w:rFonts w:hint="eastAsia"/>
          <w:b/>
          <w:bCs/>
          <w:szCs w:val="21"/>
          <w:highlight w:val="yellow"/>
        </w:rPr>
        <w:t>本工程</w:t>
      </w:r>
      <w:r>
        <w:rPr>
          <w:rFonts w:hint="eastAsia"/>
          <w:b/>
          <w:bCs/>
          <w:szCs w:val="21"/>
          <w:highlight w:val="yellow"/>
          <w:lang w:eastAsia="zh-CN"/>
        </w:rPr>
        <w:t>新添置设备</w:t>
      </w:r>
      <w:r>
        <w:rPr>
          <w:rFonts w:hint="eastAsia"/>
          <w:b/>
          <w:bCs/>
          <w:sz w:val="21"/>
          <w:szCs w:val="21"/>
          <w:highlight w:val="yellow"/>
          <w:lang w:eastAsia="zh-CN"/>
        </w:rPr>
        <w:t>保修期</w:t>
      </w:r>
      <w:r>
        <w:rPr>
          <w:rFonts w:hint="eastAsia"/>
          <w:b/>
          <w:bCs/>
          <w:sz w:val="21"/>
          <w:szCs w:val="21"/>
          <w:highlight w:val="yellow"/>
        </w:rPr>
        <w:t>为</w:t>
      </w:r>
      <w:r>
        <w:rPr>
          <w:rFonts w:hint="eastAsia"/>
          <w:b/>
          <w:bCs/>
          <w:sz w:val="21"/>
          <w:szCs w:val="21"/>
          <w:highlight w:val="yellow"/>
          <w:lang w:eastAsia="zh-CN"/>
        </w:rPr>
        <w:t>壹</w:t>
      </w:r>
      <w:r>
        <w:rPr>
          <w:rFonts w:hint="eastAsia"/>
          <w:b/>
          <w:bCs/>
          <w:sz w:val="21"/>
          <w:szCs w:val="21"/>
          <w:highlight w:val="yellow"/>
        </w:rPr>
        <w:t>年</w:t>
      </w:r>
      <w:r>
        <w:rPr>
          <w:rFonts w:hint="eastAsia"/>
          <w:b/>
          <w:bCs/>
          <w:sz w:val="21"/>
          <w:szCs w:val="21"/>
          <w:highlight w:val="yellow"/>
          <w:lang w:eastAsia="zh-CN"/>
        </w:rPr>
        <w:t>。</w:t>
      </w:r>
      <w:r>
        <w:rPr>
          <w:rFonts w:hint="eastAsia" w:ascii="宋体" w:hAnsi="宋体"/>
          <w:b/>
          <w:bCs/>
          <w:szCs w:val="21"/>
          <w:highlight w:val="yellow"/>
        </w:rPr>
        <w:t>质量保修期从工程实际竣工之日算起</w:t>
      </w:r>
      <w:r>
        <w:rPr>
          <w:rFonts w:hint="eastAsia" w:ascii="宋体" w:hAnsi="宋体"/>
          <w:b/>
          <w:bCs/>
          <w:szCs w:val="21"/>
        </w:rPr>
        <w:t>。</w:t>
      </w:r>
    </w:p>
    <w:p>
      <w:pPr>
        <w:adjustRightInd w:val="0"/>
        <w:snapToGrid w:val="0"/>
        <w:spacing w:line="360" w:lineRule="auto"/>
        <w:ind w:firstLine="422" w:firstLineChars="200"/>
        <w:rPr>
          <w:rFonts w:ascii="宋体" w:hAnsi="宋体"/>
          <w:b/>
          <w:bCs/>
          <w:szCs w:val="21"/>
        </w:rPr>
      </w:pPr>
      <w:r>
        <w:rPr>
          <w:rFonts w:hint="eastAsia" w:ascii="宋体" w:hAnsi="宋体"/>
          <w:b/>
          <w:bCs/>
          <w:szCs w:val="21"/>
        </w:rPr>
        <w:t>三、质量保修责任</w:t>
      </w:r>
    </w:p>
    <w:p>
      <w:pPr>
        <w:adjustRightInd w:val="0"/>
        <w:snapToGrid w:val="0"/>
        <w:spacing w:line="360" w:lineRule="auto"/>
        <w:ind w:firstLine="420" w:firstLineChars="200"/>
        <w:rPr>
          <w:rFonts w:ascii="宋体" w:hAnsi="宋体"/>
          <w:szCs w:val="21"/>
        </w:rPr>
      </w:pPr>
      <w:r>
        <w:rPr>
          <w:rFonts w:hint="eastAsia" w:ascii="宋体" w:hAnsi="宋体"/>
          <w:szCs w:val="21"/>
        </w:rPr>
        <w:t>1、</w:t>
      </w:r>
      <w:r>
        <w:rPr>
          <w:rFonts w:hint="eastAsia"/>
          <w:szCs w:val="21"/>
        </w:rPr>
        <w:t>在规定保修期内，</w:t>
      </w:r>
      <w:r>
        <w:rPr>
          <w:rFonts w:hint="eastAsia" w:ascii="宋体" w:hAnsi="宋体"/>
          <w:szCs w:val="21"/>
        </w:rPr>
        <w:t>属于保修范围和内容的项目，</w:t>
      </w:r>
      <w:r>
        <w:rPr>
          <w:rFonts w:hint="eastAsia"/>
          <w:szCs w:val="21"/>
        </w:rPr>
        <w:t>如发现有质量问题，乙方收到甲方函、电后应在2小时内响应并在24小时内解决问题。</w:t>
      </w:r>
    </w:p>
    <w:p>
      <w:pPr>
        <w:pStyle w:val="10"/>
        <w:spacing w:line="400" w:lineRule="exact"/>
        <w:ind w:left="0" w:right="0"/>
        <w:rPr>
          <w:kern w:val="2"/>
          <w:sz w:val="21"/>
          <w:szCs w:val="21"/>
        </w:rPr>
      </w:pPr>
      <w:r>
        <w:rPr>
          <w:rFonts w:hint="eastAsia" w:ascii="宋体" w:hAnsi="宋体"/>
          <w:sz w:val="21"/>
          <w:szCs w:val="21"/>
        </w:rPr>
        <w:t>2、</w:t>
      </w:r>
      <w:r>
        <w:rPr>
          <w:rFonts w:hint="eastAsia"/>
          <w:kern w:val="2"/>
          <w:sz w:val="21"/>
          <w:szCs w:val="21"/>
        </w:rPr>
        <w:t>出现以下任一情形的，乙方同意由甲方自行或直接委托第三方进行维修，由此产生的全部费用均由乙方承担，甲方可直接从工程尾款中扣除该等费用，同时该部分工程的保修期相应顺延：</w:t>
      </w:r>
    </w:p>
    <w:p>
      <w:pPr>
        <w:pStyle w:val="10"/>
        <w:spacing w:line="400" w:lineRule="exact"/>
        <w:ind w:left="0" w:right="0"/>
        <w:rPr>
          <w:kern w:val="2"/>
          <w:sz w:val="21"/>
          <w:szCs w:val="21"/>
        </w:rPr>
      </w:pPr>
      <w:r>
        <w:rPr>
          <w:rFonts w:hint="eastAsia"/>
          <w:kern w:val="2"/>
          <w:sz w:val="21"/>
          <w:szCs w:val="21"/>
        </w:rPr>
        <w:t>（1）乙方未能按期到场核查或维修的；</w:t>
      </w:r>
    </w:p>
    <w:p>
      <w:pPr>
        <w:pStyle w:val="10"/>
        <w:spacing w:line="400" w:lineRule="exact"/>
        <w:ind w:left="0" w:right="0"/>
        <w:rPr>
          <w:kern w:val="2"/>
          <w:sz w:val="21"/>
          <w:szCs w:val="21"/>
        </w:rPr>
      </w:pPr>
      <w:r>
        <w:rPr>
          <w:rFonts w:hint="eastAsia"/>
          <w:kern w:val="2"/>
          <w:sz w:val="21"/>
          <w:szCs w:val="21"/>
        </w:rPr>
        <w:t>（2）乙方自接到保修通知之日起三日仍未给予回复的；</w:t>
      </w:r>
    </w:p>
    <w:p>
      <w:pPr>
        <w:pStyle w:val="10"/>
        <w:spacing w:line="400" w:lineRule="exact"/>
        <w:ind w:left="0" w:right="0"/>
        <w:rPr>
          <w:kern w:val="2"/>
          <w:sz w:val="21"/>
          <w:szCs w:val="21"/>
        </w:rPr>
      </w:pPr>
      <w:r>
        <w:rPr>
          <w:rFonts w:hint="eastAsia"/>
          <w:kern w:val="2"/>
          <w:sz w:val="21"/>
          <w:szCs w:val="21"/>
        </w:rPr>
        <w:t>（3）连续两次维修仍未能解决问题，修补缺陷的；</w:t>
      </w:r>
    </w:p>
    <w:p>
      <w:pPr>
        <w:pStyle w:val="10"/>
        <w:spacing w:line="400" w:lineRule="exact"/>
        <w:ind w:left="0" w:right="0"/>
        <w:rPr>
          <w:kern w:val="2"/>
          <w:sz w:val="21"/>
          <w:szCs w:val="21"/>
        </w:rPr>
      </w:pPr>
      <w:r>
        <w:rPr>
          <w:rFonts w:hint="eastAsia"/>
          <w:kern w:val="2"/>
          <w:sz w:val="21"/>
          <w:szCs w:val="21"/>
        </w:rPr>
        <w:t>（4）双方约定的其他情形。</w:t>
      </w:r>
    </w:p>
    <w:p>
      <w:pPr>
        <w:adjustRightInd w:val="0"/>
        <w:snapToGrid w:val="0"/>
        <w:spacing w:line="360" w:lineRule="auto"/>
        <w:rPr>
          <w:rFonts w:ascii="宋体" w:hAnsi="宋体"/>
          <w:szCs w:val="21"/>
        </w:rPr>
      </w:pPr>
      <w:r>
        <w:rPr>
          <w:rFonts w:hint="eastAsia" w:ascii="宋体" w:hAnsi="宋体"/>
          <w:szCs w:val="21"/>
        </w:rPr>
        <w:t>3、国家规定的工程合理使用期限内，因乙方原因致使工程在合理使用期限内造成人身和财产损害的，乙方应承担损害赔偿责任。</w:t>
      </w:r>
    </w:p>
    <w:p>
      <w:pPr>
        <w:adjustRightInd w:val="0"/>
        <w:snapToGrid w:val="0"/>
        <w:spacing w:line="360" w:lineRule="auto"/>
        <w:ind w:firstLine="422" w:firstLineChars="200"/>
        <w:rPr>
          <w:rFonts w:ascii="宋体" w:hAnsi="宋体"/>
          <w:b/>
          <w:bCs/>
          <w:szCs w:val="21"/>
        </w:rPr>
      </w:pPr>
      <w:r>
        <w:rPr>
          <w:rFonts w:hint="eastAsia" w:ascii="宋体" w:hAnsi="宋体"/>
          <w:b/>
          <w:bCs/>
          <w:szCs w:val="21"/>
        </w:rPr>
        <w:t>四、质量保修金的支付</w:t>
      </w:r>
    </w:p>
    <w:p>
      <w:pPr>
        <w:adjustRightInd w:val="0"/>
        <w:snapToGrid w:val="0"/>
        <w:spacing w:line="360" w:lineRule="auto"/>
        <w:ind w:firstLine="420" w:firstLineChars="200"/>
        <w:rPr>
          <w:rFonts w:ascii="宋体" w:hAnsi="宋体"/>
          <w:szCs w:val="21"/>
        </w:rPr>
      </w:pPr>
      <w:r>
        <w:rPr>
          <w:rFonts w:hint="eastAsia" w:ascii="宋体" w:hAnsi="宋体"/>
          <w:szCs w:val="21"/>
        </w:rPr>
        <w:t>本工程双方约定工程质量保修金金额为</w:t>
      </w:r>
      <w:r>
        <w:rPr>
          <w:rFonts w:hint="eastAsia" w:ascii="宋体" w:hAnsi="宋体"/>
          <w:b/>
          <w:bCs/>
          <w:szCs w:val="21"/>
          <w:u w:val="single"/>
        </w:rPr>
        <w:t>工程结算价的</w:t>
      </w:r>
      <w:r>
        <w:rPr>
          <w:rFonts w:hint="eastAsia" w:ascii="宋体" w:hAnsi="宋体"/>
          <w:b/>
          <w:bCs/>
          <w:szCs w:val="21"/>
          <w:u w:val="single"/>
          <w:lang w:val="en-US" w:eastAsia="zh-CN"/>
        </w:rPr>
        <w:t>5</w:t>
      </w:r>
      <w:r>
        <w:rPr>
          <w:rFonts w:hint="eastAsia" w:ascii="宋体" w:hAnsi="宋体"/>
          <w:b/>
          <w:bCs/>
          <w:szCs w:val="21"/>
          <w:u w:val="single"/>
        </w:rPr>
        <w:t>%计算</w:t>
      </w:r>
      <w:r>
        <w:rPr>
          <w:rFonts w:hint="eastAsia" w:ascii="宋体" w:hAnsi="宋体"/>
          <w:szCs w:val="21"/>
        </w:rPr>
        <w:t>。</w:t>
      </w:r>
    </w:p>
    <w:p>
      <w:pPr>
        <w:adjustRightInd w:val="0"/>
        <w:snapToGrid w:val="0"/>
        <w:spacing w:line="360" w:lineRule="auto"/>
        <w:ind w:firstLine="422" w:firstLineChars="200"/>
        <w:rPr>
          <w:rFonts w:ascii="宋体" w:hAnsi="宋体"/>
          <w:b/>
          <w:bCs/>
          <w:szCs w:val="21"/>
        </w:rPr>
      </w:pPr>
      <w:r>
        <w:rPr>
          <w:rFonts w:hint="eastAsia" w:ascii="宋体" w:hAnsi="宋体"/>
          <w:b/>
          <w:bCs/>
          <w:szCs w:val="21"/>
        </w:rPr>
        <w:t>五、质量保修金的返还</w:t>
      </w:r>
    </w:p>
    <w:p>
      <w:pPr>
        <w:adjustRightInd w:val="0"/>
        <w:snapToGrid w:val="0"/>
        <w:spacing w:line="360" w:lineRule="auto"/>
        <w:ind w:firstLine="420" w:firstLineChars="200"/>
        <w:rPr>
          <w:rFonts w:ascii="宋体" w:hAnsi="宋体"/>
          <w:szCs w:val="21"/>
        </w:rPr>
      </w:pPr>
      <w:r>
        <w:rPr>
          <w:rFonts w:hint="eastAsia" w:ascii="宋体" w:hAnsi="宋体"/>
          <w:szCs w:val="21"/>
        </w:rPr>
        <w:t>甲方在</w:t>
      </w:r>
      <w:r>
        <w:rPr>
          <w:rFonts w:hint="eastAsia"/>
          <w:sz w:val="21"/>
          <w:szCs w:val="21"/>
        </w:rPr>
        <w:t>缺陷责任期</w:t>
      </w:r>
      <w:r>
        <w:rPr>
          <w:rFonts w:hint="eastAsia" w:ascii="宋体" w:hAnsi="宋体"/>
          <w:szCs w:val="21"/>
        </w:rPr>
        <w:t>满确认无质量问题后10个工作日内，将剩余保修金无息返还乙方。</w:t>
      </w:r>
    </w:p>
    <w:p>
      <w:pPr>
        <w:adjustRightInd w:val="0"/>
        <w:snapToGrid w:val="0"/>
        <w:spacing w:line="360" w:lineRule="auto"/>
        <w:ind w:firstLine="422" w:firstLineChars="200"/>
        <w:rPr>
          <w:rFonts w:ascii="宋体" w:hAnsi="宋体"/>
          <w:szCs w:val="21"/>
        </w:rPr>
      </w:pPr>
      <w:r>
        <w:rPr>
          <w:rFonts w:hint="eastAsia" w:ascii="宋体" w:hAnsi="宋体"/>
          <w:b/>
          <w:bCs/>
          <w:szCs w:val="21"/>
        </w:rPr>
        <w:t>六、其他</w:t>
      </w:r>
    </w:p>
    <w:p>
      <w:pPr>
        <w:pStyle w:val="6"/>
        <w:adjustRightInd w:val="0"/>
        <w:snapToGrid w:val="0"/>
        <w:spacing w:line="360" w:lineRule="auto"/>
        <w:ind w:left="0" w:firstLine="321" w:firstLineChars="153"/>
        <w:rPr>
          <w:rFonts w:hint="eastAsia" w:ascii="宋体" w:hAnsi="宋体"/>
          <w:sz w:val="21"/>
          <w:szCs w:val="21"/>
        </w:rPr>
      </w:pPr>
      <w:r>
        <w:rPr>
          <w:rFonts w:hint="eastAsia" w:ascii="宋体" w:hAnsi="宋体"/>
          <w:sz w:val="21"/>
          <w:szCs w:val="21"/>
        </w:rPr>
        <w:t>本工程质量保修书作为施工合同附件，由双方共同签署后生效。</w:t>
      </w:r>
    </w:p>
    <w:p>
      <w:pPr>
        <w:pStyle w:val="6"/>
        <w:adjustRightInd w:val="0"/>
        <w:snapToGrid w:val="0"/>
        <w:spacing w:line="360" w:lineRule="auto"/>
        <w:ind w:left="0" w:firstLine="321" w:firstLineChars="153"/>
        <w:rPr>
          <w:rFonts w:hint="eastAsia" w:ascii="宋体" w:hAnsi="宋体"/>
          <w:sz w:val="21"/>
          <w:szCs w:val="21"/>
        </w:rPr>
      </w:pPr>
    </w:p>
    <w:p>
      <w:pPr>
        <w:pStyle w:val="6"/>
        <w:adjustRightInd w:val="0"/>
        <w:snapToGrid w:val="0"/>
        <w:spacing w:line="360" w:lineRule="auto"/>
        <w:ind w:left="0" w:firstLine="321" w:firstLineChars="153"/>
        <w:rPr>
          <w:rFonts w:hint="eastAsia" w:ascii="宋体" w:hAnsi="宋体"/>
          <w:sz w:val="21"/>
          <w:szCs w:val="21"/>
        </w:rPr>
      </w:pPr>
    </w:p>
    <w:p>
      <w:pPr>
        <w:ind w:firstLine="211" w:firstLineChars="100"/>
        <w:jc w:val="both"/>
        <w:rPr>
          <w:rFonts w:hint="eastAsia" w:ascii="宋体" w:hAnsi="宋体" w:eastAsia="宋体" w:cs="宋体"/>
          <w:i w:val="0"/>
          <w:color w:val="000000"/>
          <w:kern w:val="0"/>
          <w:sz w:val="24"/>
          <w:szCs w:val="24"/>
          <w:u w:val="none"/>
          <w:lang w:val="en-US" w:eastAsia="zh-CN" w:bidi="ar"/>
        </w:rPr>
      </w:pPr>
      <w:r>
        <w:rPr>
          <w:rFonts w:hint="eastAsia"/>
          <w:b/>
          <w:lang w:eastAsia="zh-CN"/>
        </w:rPr>
        <w:t>附件</w:t>
      </w:r>
      <w:r>
        <w:rPr>
          <w:rFonts w:hint="eastAsia"/>
          <w:b/>
          <w:lang w:val="en-US" w:eastAsia="zh-CN"/>
        </w:rPr>
        <w:t>2：</w:t>
      </w:r>
      <w:r>
        <w:rPr>
          <w:rFonts w:hint="eastAsia" w:ascii="宋体" w:hAnsi="宋体" w:eastAsia="宋体" w:cs="宋体"/>
          <w:i w:val="0"/>
          <w:color w:val="000000"/>
          <w:kern w:val="0"/>
          <w:sz w:val="24"/>
          <w:szCs w:val="24"/>
          <w:u w:val="none"/>
          <w:lang w:val="en-US" w:eastAsia="zh-CN" w:bidi="ar"/>
        </w:rPr>
        <w:t>周庄书香府邸厨房设备清单</w:t>
      </w:r>
      <w:r>
        <w:rPr>
          <w:rFonts w:hint="eastAsia" w:ascii="宋体" w:hAnsi="宋体" w:cs="宋体"/>
          <w:i w:val="0"/>
          <w:color w:val="000000"/>
          <w:kern w:val="0"/>
          <w:sz w:val="24"/>
          <w:szCs w:val="24"/>
          <w:u w:val="none"/>
          <w:lang w:val="en-US" w:eastAsia="zh-CN" w:bidi="ar"/>
        </w:rPr>
        <w:t>（另附电子表格）</w:t>
      </w:r>
    </w:p>
    <w:p>
      <w:pPr>
        <w:pStyle w:val="6"/>
        <w:adjustRightInd w:val="0"/>
        <w:snapToGrid w:val="0"/>
        <w:spacing w:line="360" w:lineRule="auto"/>
        <w:ind w:left="0" w:firstLine="321" w:firstLineChars="153"/>
        <w:rPr>
          <w:rFonts w:hint="eastAsia" w:ascii="宋体" w:hAnsi="宋体"/>
          <w:sz w:val="21"/>
          <w:szCs w:val="21"/>
        </w:rPr>
      </w:pPr>
      <w:bookmarkStart w:id="1" w:name="_GoBack"/>
      <w:bookmarkEnd w:id="1"/>
    </w:p>
    <w:p>
      <w:pPr>
        <w:pStyle w:val="6"/>
        <w:adjustRightInd w:val="0"/>
        <w:snapToGrid w:val="0"/>
        <w:spacing w:line="360" w:lineRule="auto"/>
        <w:rPr>
          <w:rFonts w:hint="eastAsia" w:ascii="宋体" w:hAnsi="宋体" w:eastAsia="宋体" w:cs="宋体"/>
          <w:i w:val="0"/>
          <w:color w:val="000000"/>
          <w:kern w:val="0"/>
          <w:sz w:val="24"/>
          <w:szCs w:val="24"/>
          <w:u w:val="none"/>
          <w:lang w:val="en-US" w:eastAsia="zh-CN" w:bidi="ar"/>
        </w:rPr>
      </w:pPr>
      <w:r>
        <w:rPr>
          <w:rFonts w:hint="eastAsia" w:ascii="宋体" w:hAnsi="宋体"/>
          <w:b/>
          <w:bCs/>
          <w:sz w:val="21"/>
          <w:szCs w:val="21"/>
          <w:lang w:eastAsia="zh-CN"/>
        </w:rPr>
        <w:t>附件</w:t>
      </w:r>
      <w:r>
        <w:rPr>
          <w:rFonts w:hint="eastAsia" w:ascii="宋体" w:hAnsi="宋体"/>
          <w:b/>
          <w:bCs/>
          <w:sz w:val="21"/>
          <w:szCs w:val="21"/>
          <w:lang w:val="en-US" w:eastAsia="zh-CN"/>
        </w:rPr>
        <w:t>3：</w:t>
      </w:r>
      <w:r>
        <w:rPr>
          <w:rFonts w:hint="eastAsia" w:ascii="宋体" w:hAnsi="宋体" w:eastAsia="宋体" w:cs="宋体"/>
          <w:i w:val="0"/>
          <w:color w:val="000000"/>
          <w:kern w:val="0"/>
          <w:sz w:val="24"/>
          <w:szCs w:val="24"/>
          <w:u w:val="none"/>
          <w:lang w:val="en-US" w:eastAsia="zh-CN" w:bidi="ar"/>
        </w:rPr>
        <w:t>周庄书香府邸厨房布局及水电点位图（另附CAD图 ）</w:t>
      </w:r>
    </w:p>
    <w:p>
      <w:pPr>
        <w:pStyle w:val="6"/>
        <w:adjustRightInd w:val="0"/>
        <w:snapToGrid w:val="0"/>
        <w:spacing w:line="360" w:lineRule="auto"/>
        <w:rPr>
          <w:rFonts w:hint="eastAsia" w:ascii="宋体" w:hAnsi="宋体" w:eastAsia="宋体" w:cs="宋体"/>
          <w:i w:val="0"/>
          <w:color w:val="000000"/>
          <w:kern w:val="0"/>
          <w:sz w:val="24"/>
          <w:szCs w:val="24"/>
          <w:u w:val="none"/>
          <w:lang w:val="en-US" w:eastAsia="zh-CN" w:bidi="ar"/>
        </w:rPr>
      </w:pPr>
    </w:p>
    <w:p>
      <w:pPr>
        <w:pStyle w:val="6"/>
        <w:adjustRightInd w:val="0"/>
        <w:snapToGrid w:val="0"/>
        <w:spacing w:line="360" w:lineRule="auto"/>
        <w:rPr>
          <w:rFonts w:hint="eastAsia" w:ascii="宋体" w:hAnsi="宋体" w:eastAsia="宋体" w:cs="宋体"/>
          <w:i w:val="0"/>
          <w:color w:val="000000"/>
          <w:kern w:val="0"/>
          <w:sz w:val="24"/>
          <w:szCs w:val="24"/>
          <w:u w:val="none"/>
          <w:lang w:val="en-US" w:eastAsia="zh-CN" w:bidi="ar"/>
        </w:rPr>
      </w:pPr>
    </w:p>
    <w:p>
      <w:pPr>
        <w:pStyle w:val="6"/>
        <w:adjustRightInd w:val="0"/>
        <w:snapToGrid w:val="0"/>
        <w:spacing w:line="360" w:lineRule="auto"/>
        <w:rPr>
          <w:rFonts w:hint="default" w:ascii="宋体" w:hAnsi="宋体" w:eastAsia="宋体" w:cs="宋体"/>
          <w:i w:val="0"/>
          <w:color w:val="000000"/>
          <w:kern w:val="0"/>
          <w:sz w:val="24"/>
          <w:szCs w:val="24"/>
          <w:u w:val="none"/>
          <w:lang w:val="en-US" w:eastAsia="zh-CN" w:bidi="ar"/>
        </w:rPr>
      </w:pPr>
    </w:p>
    <w:p>
      <w:pPr>
        <w:ind w:firstLine="480" w:firstLineChars="200"/>
        <w:rPr>
          <w:rFonts w:hint="default" w:eastAsia="宋体"/>
          <w:sz w:val="24"/>
          <w:lang w:val="en-US" w:eastAsia="zh-CN"/>
        </w:rPr>
      </w:pPr>
      <w:r>
        <w:rPr>
          <w:rFonts w:hint="eastAsia"/>
          <w:sz w:val="24"/>
          <w:lang w:val="en-US" w:eastAsia="zh-CN"/>
        </w:rPr>
        <w:t xml:space="preserve">                                         昆山周庄书香府邸项目部</w:t>
      </w:r>
    </w:p>
    <w:p>
      <w:pPr>
        <w:rPr>
          <w:rFonts w:hint="eastAsia"/>
          <w:b/>
        </w:rPr>
      </w:pPr>
      <w:r>
        <w:rPr>
          <w:rFonts w:hint="eastAsia"/>
          <w:sz w:val="24"/>
        </w:rPr>
        <w:t xml:space="preserve">                                 </w:t>
      </w:r>
      <w:r>
        <w:rPr>
          <w:rFonts w:hint="eastAsia"/>
          <w:sz w:val="24"/>
          <w:lang w:val="en-US" w:eastAsia="zh-CN"/>
        </w:rPr>
        <w:t xml:space="preserve">              </w:t>
      </w:r>
      <w:r>
        <w:rPr>
          <w:rFonts w:hint="eastAsia"/>
          <w:sz w:val="24"/>
        </w:rPr>
        <w:t>20</w:t>
      </w:r>
      <w:r>
        <w:rPr>
          <w:rFonts w:hint="eastAsia"/>
          <w:sz w:val="24"/>
          <w:lang w:val="en-US" w:eastAsia="zh-CN"/>
        </w:rPr>
        <w:t>20</w:t>
      </w:r>
      <w:r>
        <w:rPr>
          <w:rFonts w:hint="eastAsia"/>
          <w:sz w:val="24"/>
        </w:rPr>
        <w:t>年</w:t>
      </w:r>
      <w:r>
        <w:rPr>
          <w:rFonts w:hint="eastAsia"/>
          <w:sz w:val="24"/>
          <w:lang w:val="en-US" w:eastAsia="zh-CN"/>
        </w:rPr>
        <w:t>5</w:t>
      </w:r>
      <w:r>
        <w:rPr>
          <w:rFonts w:hint="eastAsia"/>
          <w:sz w:val="24"/>
        </w:rPr>
        <w:t>月</w:t>
      </w:r>
      <w:r>
        <w:rPr>
          <w:rFonts w:hint="eastAsia"/>
          <w:sz w:val="24"/>
          <w:lang w:val="en-US" w:eastAsia="zh-CN"/>
        </w:rPr>
        <w:t>27</w:t>
      </w:r>
      <w:r>
        <w:rPr>
          <w:rFonts w:hint="eastAsia"/>
          <w:sz w:val="24"/>
        </w:rPr>
        <w:t>日</w:t>
      </w:r>
    </w:p>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auto"/>
    <w:pitch w:val="default"/>
    <w:sig w:usb0="0000000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eastAsia" w:eastAsia="宋体"/>
        <w:lang w:val="en-US" w:eastAsia="zh-CN"/>
      </w:rP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5</w:t>
                          </w:r>
                          <w:r>
                            <w:rPr>
                              <w:rFonts w:hint="eastAsia"/>
                              <w:sz w:val="18"/>
                              <w:lang w:eastAsia="zh-CN"/>
                            </w:rPr>
                            <w:fldChar w:fldCharType="end"/>
                          </w:r>
                          <w:r>
                            <w:rPr>
                              <w:rFonts w:hint="eastAsia"/>
                              <w:sz w:val="18"/>
                              <w:lang w:eastAsia="zh-CN"/>
                            </w:rPr>
                            <w:t xml:space="preserve"> 页</w:t>
                          </w:r>
                        </w:p>
                      </w:txbxContent>
                    </wps:txbx>
                    <wps:bodyPr vert="horz" wrap="none" lIns="0" tIns="0" rIns="0" bIns="0" anchor="t"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M6pebnPAAAABQEAAA8AAAAAAAAAAQAgAAAAIgAAAGRycy9kb3ducmV2LnhtbFBLAQIUABQAAAAI&#10;AIdO4kAmzV+cvQEAAGIDAAAOAAAAAAAAAAEAIAAAAB4BAABkcnMvZTJvRG9jLnhtbFBLBQYAAAAA&#10;BgAGAFkBAABNBQ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5</w:t>
                    </w:r>
                    <w:r>
                      <w:rPr>
                        <w:rFonts w:hint="eastAsia"/>
                        <w:sz w:val="18"/>
                        <w:lang w:eastAsia="zh-CN"/>
                      </w:rPr>
                      <w:fldChar w:fldCharType="end"/>
                    </w:r>
                    <w:r>
                      <w:rPr>
                        <w:rFonts w:hint="eastAsia"/>
                        <w:sz w:val="18"/>
                        <w:lang w:eastAsia="zh-CN"/>
                      </w:rPr>
                      <w:t xml:space="preserve"> 页</w:t>
                    </w:r>
                  </w:p>
                </w:txbxContent>
              </v:textbox>
            </v:shape>
          </w:pict>
        </mc:Fallback>
      </mc:AlternateContent>
    </w:r>
    <w:r>
      <w:rPr>
        <w:rFonts w:hint="eastAsia"/>
        <w:lang w:val="en-US"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eastAsia" w:eastAsia="宋体"/>
        <w:lang w:val="en-US" w:eastAsia="zh-CN"/>
      </w:rPr>
    </w:pPr>
    <w:r>
      <w:rPr>
        <w:rFonts w:hint="eastAsia"/>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73DF4ED"/>
    <w:multiLevelType w:val="singleLevel"/>
    <w:tmpl w:val="473DF4ED"/>
    <w:lvl w:ilvl="0" w:tentative="0">
      <w:start w:val="1"/>
      <w:numFmt w:val="decimal"/>
      <w:suff w:val="nothing"/>
      <w:lvlText w:val="（%1）"/>
      <w:lvlJc w:val="left"/>
    </w:lvl>
  </w:abstractNum>
  <w:abstractNum w:abstractNumId="1">
    <w:nsid w:val="582129DE"/>
    <w:multiLevelType w:val="singleLevel"/>
    <w:tmpl w:val="582129DE"/>
    <w:lvl w:ilvl="0" w:tentative="0">
      <w:start w:val="2"/>
      <w:numFmt w:val="decimal"/>
      <w:suff w:val="nothing"/>
      <w:lvlText w:val="%1、"/>
      <w:lvlJc w:val="left"/>
    </w:lvl>
  </w:abstractNum>
  <w:abstractNum w:abstractNumId="2">
    <w:nsid w:val="5875C14E"/>
    <w:multiLevelType w:val="multilevel"/>
    <w:tmpl w:val="5875C14E"/>
    <w:lvl w:ilvl="0" w:tentative="0">
      <w:start w:val="1"/>
      <w:numFmt w:val="decimal"/>
      <w:suff w:val="nothing"/>
      <w:lvlText w:val="（%1）"/>
      <w:lvlJc w:val="left"/>
    </w:lvl>
    <w:lvl w:ilvl="1" w:tentative="0">
      <w:start w:val="1"/>
      <w:numFmt w:val="decimalEnclosedCircleChinese"/>
      <w:lvlText w:val="%2"/>
      <w:lvlJc w:val="left"/>
      <w:pPr>
        <w:tabs>
          <w:tab w:val="left" w:pos="840"/>
        </w:tabs>
        <w:ind w:left="840" w:leftChars="0" w:hanging="420" w:firstLineChars="0"/>
      </w:pPr>
      <w:rPr>
        <w:rFonts w:hint="default"/>
      </w:rPr>
    </w:lvl>
    <w:lvl w:ilvl="2" w:tentative="0">
      <w:start w:val="1"/>
      <w:numFmt w:val="decimal"/>
      <w:lvlText w:val="%3)"/>
      <w:lvlJc w:val="left"/>
      <w:pPr>
        <w:tabs>
          <w:tab w:val="left" w:pos="1260"/>
        </w:tabs>
        <w:ind w:left="1260" w:leftChars="0" w:hanging="420" w:firstLineChars="0"/>
      </w:pPr>
      <w:rPr>
        <w:rFonts w:hint="default"/>
      </w:rPr>
    </w:lvl>
    <w:lvl w:ilvl="3" w:tentative="0">
      <w:start w:val="1"/>
      <w:numFmt w:val="lowerLetter"/>
      <w:lvlText w:val="%4."/>
      <w:lvlJc w:val="left"/>
      <w:pPr>
        <w:tabs>
          <w:tab w:val="left" w:pos="1680"/>
        </w:tabs>
        <w:ind w:left="1680" w:leftChars="0" w:hanging="420" w:firstLineChars="0"/>
      </w:pPr>
      <w:rPr>
        <w:rFonts w:hint="default"/>
      </w:rPr>
    </w:lvl>
    <w:lvl w:ilvl="4" w:tentative="0">
      <w:start w:val="1"/>
      <w:numFmt w:val="lowerLetter"/>
      <w:lvlText w:val="%5)"/>
      <w:lvlJc w:val="left"/>
      <w:pPr>
        <w:tabs>
          <w:tab w:val="left" w:pos="2100"/>
        </w:tabs>
        <w:ind w:left="2100" w:leftChars="0" w:hanging="420" w:firstLineChars="0"/>
      </w:pPr>
      <w:rPr>
        <w:rFonts w:hint="default"/>
      </w:rPr>
    </w:lvl>
    <w:lvl w:ilvl="5" w:tentative="0">
      <w:start w:val="1"/>
      <w:numFmt w:val="lowerRoman"/>
      <w:lvlText w:val="%6."/>
      <w:lvlJc w:val="left"/>
      <w:pPr>
        <w:tabs>
          <w:tab w:val="left" w:pos="2520"/>
        </w:tabs>
        <w:ind w:left="2520" w:leftChars="0" w:hanging="420" w:firstLineChars="0"/>
      </w:pPr>
      <w:rPr>
        <w:rFonts w:hint="default"/>
      </w:rPr>
    </w:lvl>
    <w:lvl w:ilvl="6" w:tentative="0">
      <w:start w:val="1"/>
      <w:numFmt w:val="lowerRoman"/>
      <w:lvlText w:val="%7)"/>
      <w:lvlJc w:val="left"/>
      <w:pPr>
        <w:tabs>
          <w:tab w:val="left" w:pos="2940"/>
        </w:tabs>
        <w:ind w:left="2940" w:leftChars="0" w:hanging="420" w:firstLineChars="0"/>
      </w:pPr>
      <w:rPr>
        <w:rFonts w:hint="default"/>
      </w:rPr>
    </w:lvl>
    <w:lvl w:ilvl="7" w:tentative="0">
      <w:start w:val="1"/>
      <w:numFmt w:val="lowerLetter"/>
      <w:lvlText w:val="%8."/>
      <w:lvlJc w:val="left"/>
      <w:pPr>
        <w:tabs>
          <w:tab w:val="left" w:pos="3360"/>
        </w:tabs>
        <w:ind w:left="3360" w:leftChars="0" w:hanging="420" w:firstLineChars="0"/>
      </w:pPr>
      <w:rPr>
        <w:rFonts w:hint="default"/>
      </w:rPr>
    </w:lvl>
    <w:lvl w:ilvl="8" w:tentative="0">
      <w:start w:val="1"/>
      <w:numFmt w:val="lowerLetter"/>
      <w:lvlText w:val="%9)"/>
      <w:lvlJc w:val="left"/>
      <w:pPr>
        <w:tabs>
          <w:tab w:val="left" w:pos="3780"/>
        </w:tabs>
        <w:ind w:left="3780" w:leftChars="0" w:hanging="420" w:firstLineChars="0"/>
      </w:pPr>
      <w:rPr>
        <w:rFonts w:hint="default"/>
      </w:rPr>
    </w:lvl>
  </w:abstractNum>
  <w:abstractNum w:abstractNumId="3">
    <w:nsid w:val="5875C32F"/>
    <w:multiLevelType w:val="singleLevel"/>
    <w:tmpl w:val="5875C32F"/>
    <w:lvl w:ilvl="0" w:tentative="0">
      <w:start w:val="3"/>
      <w:numFmt w:val="decimal"/>
      <w:suff w:val="nothing"/>
      <w:lvlText w:val="%1、"/>
      <w:lvlJc w:val="left"/>
    </w:lvl>
  </w:abstractNum>
  <w:abstractNum w:abstractNumId="4">
    <w:nsid w:val="5875C409"/>
    <w:multiLevelType w:val="singleLevel"/>
    <w:tmpl w:val="5875C409"/>
    <w:lvl w:ilvl="0" w:tentative="0">
      <w:start w:val="1"/>
      <w:numFmt w:val="decimal"/>
      <w:suff w:val="nothing"/>
      <w:lvlText w:val="（%1）"/>
      <w:lvlJc w:val="left"/>
    </w:lvl>
  </w:abstractNum>
  <w:abstractNum w:abstractNumId="5">
    <w:nsid w:val="5875C599"/>
    <w:multiLevelType w:val="singleLevel"/>
    <w:tmpl w:val="5875C599"/>
    <w:lvl w:ilvl="0" w:tentative="0">
      <w:start w:val="4"/>
      <w:numFmt w:val="decimal"/>
      <w:suff w:val="nothing"/>
      <w:lvlText w:val="%1、"/>
      <w:lvlJc w:val="left"/>
    </w:lvl>
  </w:abstractNum>
  <w:num w:numId="1">
    <w:abstractNumId w:val="1"/>
  </w:num>
  <w:num w:numId="2">
    <w:abstractNumId w:val="2"/>
  </w:num>
  <w:num w:numId="3">
    <w:abstractNumId w:val="3"/>
  </w:num>
  <w:num w:numId="4">
    <w:abstractNumId w:val="4"/>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doNotDisplayPageBoundaries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61FB"/>
    <w:rsid w:val="0008329F"/>
    <w:rsid w:val="00344302"/>
    <w:rsid w:val="004B2D4B"/>
    <w:rsid w:val="005D50C0"/>
    <w:rsid w:val="00736353"/>
    <w:rsid w:val="008248E5"/>
    <w:rsid w:val="008861FB"/>
    <w:rsid w:val="00A62D57"/>
    <w:rsid w:val="00AE3D05"/>
    <w:rsid w:val="00D4720F"/>
    <w:rsid w:val="00D6073E"/>
    <w:rsid w:val="00D952C9"/>
    <w:rsid w:val="00DB4FB7"/>
    <w:rsid w:val="00F96BEE"/>
    <w:rsid w:val="00FF2218"/>
    <w:rsid w:val="02471001"/>
    <w:rsid w:val="07BD0D31"/>
    <w:rsid w:val="098A45A8"/>
    <w:rsid w:val="0A824B59"/>
    <w:rsid w:val="0B3210A9"/>
    <w:rsid w:val="0EB51454"/>
    <w:rsid w:val="17204092"/>
    <w:rsid w:val="172751F2"/>
    <w:rsid w:val="180B3760"/>
    <w:rsid w:val="1BE81C4F"/>
    <w:rsid w:val="1D6456AB"/>
    <w:rsid w:val="2332494C"/>
    <w:rsid w:val="253B277A"/>
    <w:rsid w:val="2B4E525D"/>
    <w:rsid w:val="2E746FA8"/>
    <w:rsid w:val="2FE739F9"/>
    <w:rsid w:val="336538D1"/>
    <w:rsid w:val="3B570291"/>
    <w:rsid w:val="3DD46C0A"/>
    <w:rsid w:val="48043EDC"/>
    <w:rsid w:val="480570CB"/>
    <w:rsid w:val="484E1F7E"/>
    <w:rsid w:val="4CB56E44"/>
    <w:rsid w:val="4D00582A"/>
    <w:rsid w:val="4E555FB6"/>
    <w:rsid w:val="5138096B"/>
    <w:rsid w:val="516C7FEE"/>
    <w:rsid w:val="54180A4F"/>
    <w:rsid w:val="58A832BC"/>
    <w:rsid w:val="5BD103EB"/>
    <w:rsid w:val="5C34157E"/>
    <w:rsid w:val="5F59240C"/>
    <w:rsid w:val="607A7A6C"/>
    <w:rsid w:val="60A223BF"/>
    <w:rsid w:val="62266554"/>
    <w:rsid w:val="62DB4E2A"/>
    <w:rsid w:val="62E90078"/>
    <w:rsid w:val="64161BB9"/>
    <w:rsid w:val="66D90DD5"/>
    <w:rsid w:val="67540026"/>
    <w:rsid w:val="69104C10"/>
    <w:rsid w:val="6A97157A"/>
    <w:rsid w:val="6D02249D"/>
    <w:rsid w:val="6D35331C"/>
    <w:rsid w:val="6E0E1582"/>
    <w:rsid w:val="74F0523A"/>
    <w:rsid w:val="784D2BD4"/>
    <w:rsid w:val="799C7CBD"/>
    <w:rsid w:val="7A350213"/>
    <w:rsid w:val="7B385EB5"/>
    <w:rsid w:val="7E3E180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customStyle="1" w:styleId="2">
    <w:name w:val="首行缩进"/>
    <w:qFormat/>
    <w:uiPriority w:val="0"/>
    <w:pPr>
      <w:widowControl w:val="0"/>
      <w:ind w:firstLine="480" w:firstLineChars="200"/>
      <w:jc w:val="both"/>
    </w:pPr>
    <w:rPr>
      <w:rFonts w:ascii="Times New Roman" w:hAnsi="Times New Roman" w:eastAsia="宋体" w:cs="Times New Roman"/>
      <w:kern w:val="2"/>
      <w:sz w:val="21"/>
      <w:lang w:val="zh-CN" w:eastAsia="zh-CN" w:bidi="ar-SA"/>
    </w:r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Indent 3"/>
    <w:basedOn w:val="1"/>
    <w:qFormat/>
    <w:uiPriority w:val="0"/>
    <w:pPr>
      <w:ind w:left="150"/>
    </w:pPr>
    <w:rPr>
      <w:sz w:val="2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Blockquote"/>
    <w:basedOn w:val="1"/>
    <w:qFormat/>
    <w:uiPriority w:val="0"/>
    <w:pPr>
      <w:autoSpaceDE w:val="0"/>
      <w:autoSpaceDN w:val="0"/>
      <w:adjustRightInd w:val="0"/>
      <w:ind w:left="360" w:right="360"/>
      <w:jc w:val="left"/>
    </w:pPr>
    <w:rPr>
      <w:kern w:val="0"/>
      <w:sz w:val="24"/>
      <w:szCs w:val="20"/>
    </w:rPr>
  </w:style>
  <w:style w:type="character" w:customStyle="1" w:styleId="11">
    <w:name w:val="font31"/>
    <w:basedOn w:val="9"/>
    <w:qFormat/>
    <w:uiPriority w:val="0"/>
    <w:rPr>
      <w:rFonts w:hint="eastAsia" w:ascii="新宋体" w:hAnsi="新宋体" w:eastAsia="新宋体" w:cs="新宋体"/>
      <w:color w:val="000000"/>
      <w:sz w:val="22"/>
      <w:szCs w:val="22"/>
      <w:u w:val="none"/>
    </w:rPr>
  </w:style>
  <w:style w:type="character" w:customStyle="1" w:styleId="12">
    <w:name w:val="font21"/>
    <w:basedOn w:val="9"/>
    <w:qFormat/>
    <w:uiPriority w:val="0"/>
    <w:rPr>
      <w:rFonts w:hint="eastAsia" w:ascii="宋体" w:hAnsi="宋体" w:eastAsia="宋体" w:cs="宋体"/>
      <w:color w:val="000000"/>
      <w:sz w:val="22"/>
      <w:szCs w:val="22"/>
      <w:u w:val="none"/>
    </w:rPr>
  </w:style>
  <w:style w:type="character" w:customStyle="1" w:styleId="13">
    <w:name w:val="font101"/>
    <w:basedOn w:val="9"/>
    <w:qFormat/>
    <w:uiPriority w:val="0"/>
    <w:rPr>
      <w:rFonts w:hint="default" w:ascii="Arial" w:hAnsi="Arial" w:cs="Arial"/>
      <w:color w:val="000000"/>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Company>微软中国</Company>
  <Pages>1</Pages>
  <Words>750</Words>
  <Characters>4279</Characters>
  <Lines>35</Lines>
  <Paragraphs>10</Paragraphs>
  <TotalTime>31</TotalTime>
  <ScaleCrop>false</ScaleCrop>
  <LinksUpToDate>false</LinksUpToDate>
  <CharactersWithSpaces>5019</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2014-03-21T02:00:00Z</dcterms:created>
  <dc:creator>顾巧明</dc:creator>
  <cp:lastModifiedBy>鱼鱼鱼鱼鱼</cp:lastModifiedBy>
  <dcterms:modified xsi:type="dcterms:W3CDTF">2020-05-27T02:00:01Z</dcterms:modified>
  <dc:title>苏州书香酒店集团中央厨房设备采购招标说明</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