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default" w:ascii="仿宋" w:hAnsi="仿宋" w:cs="仿宋" w:eastAsiaTheme="minorEastAsia"/>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rPr>
        <w:t>SXCG202004-C-</w:t>
      </w:r>
      <w:r>
        <w:rPr>
          <w:rFonts w:hint="eastAsia" w:asciiTheme="minorEastAsia" w:hAnsiTheme="minorEastAsia" w:eastAsiaTheme="minorEastAsia"/>
          <w:color w:val="000000"/>
          <w:sz w:val="28"/>
          <w:szCs w:val="28"/>
          <w:lang w:val="en-US" w:eastAsia="zh-CN"/>
        </w:rPr>
        <w:t>011</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胥城食品公司绿豆糕采购</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2020</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04</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15</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9</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13</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15</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5"/>
        <w:jc w:val="center"/>
        <w:rPr>
          <w:rFonts w:hint="eastAsia" w:ascii="仿宋" w:hAnsi="仿宋" w:eastAsia="仿宋" w:cs="仿宋"/>
        </w:rPr>
      </w:pPr>
      <w:bookmarkStart w:id="0" w:name="_Toc19043"/>
      <w:bookmarkStart w:id="1" w:name="_Toc4118"/>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胥城食品公司绿豆糕采购</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SXCG202004-C-01</w:t>
      </w:r>
      <w:r>
        <w:rPr>
          <w:rFonts w:hint="eastAsia" w:ascii="仿宋" w:hAnsi="仿宋" w:eastAsia="仿宋" w:cs="仿宋"/>
          <w:sz w:val="24"/>
          <w:szCs w:val="28"/>
          <w:lang w:val="en-US" w:eastAsia="zh-CN"/>
        </w:rPr>
        <w:t>1</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w:t>
      </w:r>
    </w:p>
    <w:p>
      <w:pPr>
        <w:rPr>
          <w:rFonts w:hint="eastAsia" w:ascii="仿宋" w:hAnsi="仿宋" w:eastAsia="仿宋" w:cs="仿宋"/>
          <w:sz w:val="24"/>
          <w:szCs w:val="28"/>
        </w:rPr>
      </w:pPr>
      <w:r>
        <w:rPr>
          <w:rFonts w:hint="eastAsia" w:ascii="仿宋" w:hAnsi="仿宋" w:eastAsia="仿宋" w:cs="仿宋"/>
          <w:sz w:val="24"/>
          <w:szCs w:val="28"/>
        </w:rPr>
        <w:t xml:space="preserve">                                            日期：20</w:t>
      </w:r>
      <w:r>
        <w:rPr>
          <w:rFonts w:hint="eastAsia" w:ascii="仿宋" w:hAnsi="仿宋" w:eastAsia="仿宋" w:cs="仿宋"/>
          <w:sz w:val="24"/>
          <w:szCs w:val="28"/>
          <w:lang w:val="en-US" w:eastAsia="zh-CN"/>
        </w:rPr>
        <w:t>20</w:t>
      </w:r>
      <w:r>
        <w:rPr>
          <w:rFonts w:hint="eastAsia" w:ascii="仿宋" w:hAnsi="仿宋" w:eastAsia="仿宋" w:cs="仿宋"/>
          <w:sz w:val="24"/>
          <w:szCs w:val="28"/>
        </w:rPr>
        <w:t>年</w:t>
      </w:r>
      <w:r>
        <w:rPr>
          <w:rFonts w:hint="eastAsia" w:ascii="仿宋" w:hAnsi="仿宋" w:eastAsia="仿宋" w:cs="仿宋"/>
          <w:sz w:val="24"/>
          <w:szCs w:val="28"/>
          <w:lang w:val="en-US" w:eastAsia="zh-CN"/>
        </w:rPr>
        <w:t>04</w:t>
      </w:r>
      <w:r>
        <w:rPr>
          <w:rFonts w:hint="eastAsia" w:ascii="仿宋" w:hAnsi="仿宋" w:eastAsia="仿宋" w:cs="仿宋"/>
          <w:sz w:val="24"/>
          <w:szCs w:val="28"/>
        </w:rPr>
        <w:t>月</w:t>
      </w:r>
      <w:r>
        <w:rPr>
          <w:rFonts w:hint="eastAsia" w:ascii="仿宋" w:hAnsi="仿宋" w:eastAsia="仿宋" w:cs="仿宋"/>
          <w:sz w:val="24"/>
          <w:szCs w:val="28"/>
          <w:lang w:val="en-US" w:eastAsia="zh-CN"/>
        </w:rPr>
        <w:t>15</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5"/>
        <w:numPr>
          <w:ilvl w:val="0"/>
          <w:numId w:val="1"/>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6"/>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：SXCG202004-C-010</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：胥城食品公司绿豆糕采购</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8"/>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招标文件咨询联系人：周工，电话：18817376790</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w:t>
            </w:r>
            <w:r>
              <w:rPr>
                <w:rFonts w:hint="eastAsia" w:ascii="仿宋" w:hAnsi="仿宋" w:eastAsia="仿宋" w:cs="仿宋"/>
                <w:sz w:val="24"/>
                <w:szCs w:val="24"/>
                <w:highlight w:val="yellow"/>
                <w:lang w:val="en-US" w:eastAsia="zh-CN"/>
              </w:rPr>
              <w:t>2020年04  月23</w:t>
            </w:r>
            <w:bookmarkStart w:id="9" w:name="_GoBack"/>
            <w:bookmarkEnd w:id="9"/>
            <w:r>
              <w:rPr>
                <w:rFonts w:hint="eastAsia" w:ascii="仿宋" w:hAnsi="仿宋" w:eastAsia="仿宋" w:cs="仿宋"/>
                <w:sz w:val="24"/>
                <w:szCs w:val="24"/>
                <w:highlight w:val="yellow"/>
                <w:lang w:val="en-US" w:eastAsia="zh-CN"/>
              </w:rPr>
              <w:t>日前</w:t>
            </w:r>
            <w:r>
              <w:rPr>
                <w:rFonts w:hint="eastAsia" w:ascii="仿宋" w:hAnsi="仿宋" w:eastAsia="仿宋" w:cs="仿宋"/>
                <w:sz w:val="24"/>
                <w:szCs w:val="24"/>
                <w:lang w:val="en-US" w:eastAsia="zh-CN"/>
              </w:rPr>
              <w:t>，发到各投标单位邮箱。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4、需提供食品生产许可证、食品生产许可品种明细表、食品流通许可证复印件并加盖公章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5、提供符合招标范围的营业执照复印件并加盖公章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6、提供第三方质量检测合格报告</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7、产品保质期不得低于180天</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8、能够积极机动配合，配置外纸箱（大）</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2020</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04</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26</w:t>
            </w:r>
            <w:r>
              <w:rPr>
                <w:rFonts w:hint="eastAsia" w:ascii="仿宋" w:hAnsi="仿宋" w:eastAsia="仿宋" w:cs="仿宋"/>
                <w:b/>
                <w:bCs/>
                <w:color w:val="auto"/>
                <w:sz w:val="24"/>
                <w:szCs w:val="24"/>
                <w:highlight w:val="yellow"/>
              </w:rPr>
              <w:t>日</w:t>
            </w:r>
            <w:r>
              <w:rPr>
                <w:rFonts w:hint="eastAsia" w:ascii="仿宋" w:hAnsi="仿宋" w:eastAsia="仿宋" w:cs="仿宋"/>
                <w:b/>
                <w:bCs/>
                <w:color w:val="auto"/>
                <w:sz w:val="24"/>
                <w:szCs w:val="24"/>
                <w:highlight w:val="yellow"/>
                <w:lang w:eastAsia="zh-CN"/>
              </w:rPr>
              <w:t>下</w:t>
            </w:r>
            <w:r>
              <w:rPr>
                <w:rFonts w:hint="eastAsia" w:ascii="仿宋" w:hAnsi="仿宋" w:eastAsia="仿宋" w:cs="仿宋"/>
                <w:b/>
                <w:bCs/>
                <w:color w:val="auto"/>
                <w:sz w:val="24"/>
                <w:szCs w:val="24"/>
                <w:highlight w:val="yellow"/>
              </w:rPr>
              <w:t>午1</w:t>
            </w:r>
            <w:r>
              <w:rPr>
                <w:rFonts w:hint="eastAsia" w:ascii="仿宋" w:hAnsi="仿宋" w:eastAsia="仿宋" w:cs="仿宋"/>
                <w:b/>
                <w:bCs/>
                <w:color w:val="auto"/>
                <w:sz w:val="24"/>
                <w:szCs w:val="24"/>
                <w:highlight w:val="yellow"/>
                <w:lang w:val="en-US" w:eastAsia="zh-CN"/>
              </w:rPr>
              <w:t>5</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3"/>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b/>
          <w:bCs/>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b/>
          <w:bCs/>
          <w:szCs w:val="21"/>
          <w:lang w:eastAsia="zh-CN"/>
        </w:rPr>
      </w:pPr>
      <w:r>
        <w:rPr>
          <w:rFonts w:hint="eastAsia" w:ascii="仿宋" w:hAnsi="仿宋" w:eastAsia="仿宋" w:cs="仿宋"/>
          <w:b/>
          <w:bCs/>
          <w:szCs w:val="21"/>
          <w:lang w:eastAsia="zh-CN"/>
        </w:rPr>
        <w:br w:type="page"/>
      </w:r>
    </w:p>
    <w:p>
      <w:pPr>
        <w:pStyle w:val="5"/>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numPr>
          <w:ilvl w:val="0"/>
          <w:numId w:val="0"/>
        </w:numPr>
        <w:spacing w:line="400" w:lineRule="atLeast"/>
        <w:rPr>
          <w:rFonts w:hint="eastAsia" w:ascii="仿宋" w:hAnsi="仿宋" w:eastAsia="仿宋" w:cs="仿宋"/>
          <w:sz w:val="24"/>
          <w:szCs w:val="24"/>
          <w:lang w:val="en-US" w:eastAsia="zh-CN"/>
        </w:rPr>
      </w:pPr>
    </w:p>
    <w:p>
      <w:pPr>
        <w:numPr>
          <w:ilvl w:val="0"/>
          <w:numId w:val="4"/>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数量及规格要求</w:t>
      </w:r>
    </w:p>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绿豆糕采购清单</w:t>
      </w:r>
    </w:p>
    <w:tbl>
      <w:tblPr>
        <w:tblStyle w:val="6"/>
        <w:tblW w:w="9156" w:type="dxa"/>
        <w:tblInd w:w="0" w:type="dxa"/>
        <w:shd w:val="clear" w:color="auto" w:fill="auto"/>
        <w:tblLayout w:type="fixed"/>
        <w:tblCellMar>
          <w:top w:w="0" w:type="dxa"/>
          <w:left w:w="0" w:type="dxa"/>
          <w:bottom w:w="0" w:type="dxa"/>
          <w:right w:w="0" w:type="dxa"/>
        </w:tblCellMar>
      </w:tblPr>
      <w:tblGrid>
        <w:gridCol w:w="767"/>
        <w:gridCol w:w="1139"/>
        <w:gridCol w:w="1693"/>
        <w:gridCol w:w="1395"/>
        <w:gridCol w:w="1391"/>
        <w:gridCol w:w="1391"/>
        <w:gridCol w:w="1380"/>
      </w:tblGrid>
      <w:tr>
        <w:tblPrEx>
          <w:tblCellMar>
            <w:top w:w="0" w:type="dxa"/>
            <w:left w:w="0" w:type="dxa"/>
            <w:bottom w:w="0" w:type="dxa"/>
            <w:right w:w="0" w:type="dxa"/>
          </w:tblCellMar>
        </w:tblPrEx>
        <w:trPr>
          <w:trHeight w:val="5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品种</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规格</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数量（盒）</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单价（元/盒）</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r>
      <w:tr>
        <w:tblPrEx>
          <w:tblCellMar>
            <w:top w:w="0" w:type="dxa"/>
            <w:left w:w="0" w:type="dxa"/>
            <w:bottom w:w="0" w:type="dxa"/>
            <w:right w:w="0" w:type="dxa"/>
          </w:tblCellMar>
        </w:tblPrEx>
        <w:trPr>
          <w:trHeight w:val="1265"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cs="宋体"/>
                <w:i w:val="0"/>
                <w:color w:val="000000"/>
                <w:kern w:val="0"/>
                <w:sz w:val="24"/>
                <w:szCs w:val="24"/>
                <w:u w:val="none"/>
                <w:lang w:val="en-US" w:eastAsia="zh-CN" w:bidi="ar"/>
              </w:rPr>
              <w:t>绿豆糕</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盒</w:t>
            </w:r>
          </w:p>
          <w:p>
            <w:pPr>
              <w:keepNext w:val="0"/>
              <w:keepLines w:val="0"/>
              <w:widowControl/>
              <w:suppressLineNumbers w:val="0"/>
              <w:jc w:val="center"/>
              <w:textAlignment w:val="center"/>
              <w:rPr>
                <w:rFonts w:hint="eastAsia" w:ascii="仿宋" w:hAnsi="仿宋" w:eastAsia="仿宋" w:cs="仿宋"/>
                <w:b w:val="0"/>
                <w:bCs w:val="0"/>
                <w:sz w:val="22"/>
                <w:szCs w:val="22"/>
                <w:lang w:val="en-US" w:eastAsia="zh-CN"/>
              </w:rPr>
            </w:pPr>
            <w:r>
              <w:rPr>
                <w:rFonts w:hint="eastAsia" w:ascii="宋体" w:hAnsi="宋体" w:cs="宋体"/>
                <w:i w:val="0"/>
                <w:color w:val="000000"/>
                <w:kern w:val="0"/>
                <w:sz w:val="20"/>
                <w:szCs w:val="20"/>
                <w:u w:val="none"/>
                <w:lang w:val="en-US" w:eastAsia="zh-CN" w:bidi="ar"/>
              </w:rPr>
              <w:t>（每盒口味：蔓越莓*1、桂花*1、海盐芝士*1、原味*1）</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b w:val="0"/>
                <w:bCs w:val="0"/>
                <w:sz w:val="22"/>
                <w:szCs w:val="22"/>
                <w:lang w:val="en-US" w:eastAsia="zh-CN"/>
              </w:rPr>
            </w:pPr>
            <w:r>
              <w:rPr>
                <w:rFonts w:hint="eastAsia" w:ascii="宋体" w:hAnsi="宋体" w:cs="宋体"/>
                <w:i w:val="0"/>
                <w:color w:val="000000"/>
                <w:kern w:val="0"/>
                <w:sz w:val="24"/>
                <w:szCs w:val="24"/>
                <w:u w:val="none"/>
                <w:lang w:val="en-US" w:eastAsia="zh-CN" w:bidi="ar"/>
              </w:rPr>
              <w:t>33300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税金13%</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运费、包材及人工等</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bl>
    <w:p>
      <w:pPr>
        <w:numPr>
          <w:ilvl w:val="0"/>
          <w:numId w:val="0"/>
        </w:numPr>
        <w:spacing w:line="400" w:lineRule="atLeast"/>
        <w:jc w:val="center"/>
        <w:rPr>
          <w:rFonts w:hint="eastAsia" w:ascii="仿宋" w:hAnsi="仿宋" w:eastAsia="仿宋" w:cs="仿宋"/>
          <w:b/>
          <w:bCs/>
          <w:sz w:val="24"/>
          <w:szCs w:val="24"/>
          <w:lang w:val="en-US" w:eastAsia="zh-CN"/>
        </w:rPr>
      </w:pPr>
    </w:p>
    <w:p>
      <w:pPr>
        <w:pStyle w:val="5"/>
        <w:numPr>
          <w:ilvl w:val="0"/>
          <w:numId w:val="5"/>
        </w:numPr>
        <w:jc w:val="center"/>
        <w:rPr>
          <w:rFonts w:hint="eastAsia" w:ascii="仿宋" w:hAnsi="仿宋" w:eastAsia="仿宋" w:cs="仿宋"/>
          <w:lang w:eastAsia="zh-CN"/>
        </w:rPr>
      </w:pPr>
      <w:bookmarkStart w:id="5" w:name="_Toc18620"/>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购销双方依据《中华人民共和国合同法》及其他相关法律法规，经过自愿平等协商，就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第八条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rPr>
        <w:t>8.1乙方不得将本合约全部或部分权利或义务移转予第三人。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8.2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第九条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tabs>
          <w:tab w:val="left" w:pos="794"/>
        </w:tabs>
        <w:rPr>
          <w:rFonts w:hint="eastAsia"/>
          <w:lang w:eastAsia="zh-CN"/>
        </w:rPr>
      </w:pPr>
    </w:p>
    <w:p>
      <w:pPr>
        <w:pStyle w:val="5"/>
        <w:jc w:val="center"/>
        <w:rPr>
          <w:rFonts w:hint="eastAsia" w:ascii="仿宋" w:hAnsi="仿宋" w:eastAsia="仿宋" w:cs="仿宋"/>
        </w:rPr>
      </w:pPr>
      <w:bookmarkStart w:id="6" w:name="_Toc8991"/>
      <w:bookmarkStart w:id="7" w:name="_Toc6627"/>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pStyle w:val="5"/>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胥城食品公司绿豆糕采购</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胥城食品公司绿豆糕采购</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胥城食品公司绿豆糕采购</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胥城食品公司绿豆糕采购</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p/>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3CA8AC5A"/>
    <w:multiLevelType w:val="singleLevel"/>
    <w:tmpl w:val="3CA8AC5A"/>
    <w:lvl w:ilvl="0" w:tentative="0">
      <w:start w:val="1"/>
      <w:numFmt w:val="chineseCounting"/>
      <w:suff w:val="nothing"/>
      <w:lvlText w:val="%1、"/>
      <w:lvlJc w:val="left"/>
      <w:rPr>
        <w:rFonts w:hint="eastAsia"/>
      </w:rPr>
    </w:lvl>
  </w:abstractNum>
  <w:abstractNum w:abstractNumId="4">
    <w:nsid w:val="5A20AA93"/>
    <w:multiLevelType w:val="singleLevel"/>
    <w:tmpl w:val="5A20AA93"/>
    <w:lvl w:ilvl="0" w:tentative="0">
      <w:start w:val="2"/>
      <w:numFmt w:val="chineseCounting"/>
      <w:suff w:val="nothing"/>
      <w:lvlText w:val="第%1章"/>
      <w:lvlJc w:val="left"/>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146EF8"/>
    <w:rsid w:val="02726B11"/>
    <w:rsid w:val="04F44909"/>
    <w:rsid w:val="0C172111"/>
    <w:rsid w:val="14A7030E"/>
    <w:rsid w:val="27CC78C3"/>
    <w:rsid w:val="414B7F56"/>
    <w:rsid w:val="434F15E3"/>
    <w:rsid w:val="4B146EF8"/>
    <w:rsid w:val="5E727120"/>
    <w:rsid w:val="6F341731"/>
    <w:rsid w:val="712F5770"/>
    <w:rsid w:val="7969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5">
    <w:name w:val="Title"/>
    <w:basedOn w:val="1"/>
    <w:next w:val="1"/>
    <w:qFormat/>
    <w:uiPriority w:val="0"/>
    <w:pPr>
      <w:spacing w:before="240" w:after="60"/>
      <w:jc w:val="center"/>
      <w:outlineLvl w:val="0"/>
    </w:pPr>
    <w:rPr>
      <w:rFonts w:asciiTheme="majorHAnsi" w:hAnsiTheme="majorHAnsi" w:cstheme="majorBidi"/>
      <w:b/>
      <w:bCs/>
      <w:sz w:val="32"/>
      <w:szCs w:val="32"/>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customStyle="1" w:styleId="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63</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2020-04-15T02:54:00Z</dcterms:created>
  <dc:creator>鱼鱼鱼鱼鱼</dc:creator>
  <cp:lastModifiedBy>鱼鱼鱼鱼鱼</cp:lastModifiedBy>
  <dcterms:modified xsi:type="dcterms:W3CDTF">2020-04-21T05:35:11Z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