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default" w:ascii="仿宋" w:hAnsi="仿宋" w:cs="仿宋" w:eastAsiaTheme="minorEastAsia"/>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rPr>
        <w:t>SXCG202004-C-</w:t>
      </w:r>
      <w:r>
        <w:rPr>
          <w:rFonts w:hint="eastAsia" w:asciiTheme="minorEastAsia" w:hAnsiTheme="minorEastAsia" w:eastAsiaTheme="minorEastAsia"/>
          <w:color w:val="000000"/>
          <w:sz w:val="28"/>
          <w:szCs w:val="28"/>
          <w:lang w:val="en-US" w:eastAsia="zh-CN"/>
        </w:rPr>
        <w:t>010</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胥城食品公司咸鸭蛋礼盒采购</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2020</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04</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15</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9"/>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8</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9</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13</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15</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5"/>
        <w:jc w:val="center"/>
        <w:rPr>
          <w:rFonts w:hint="eastAsia" w:ascii="仿宋" w:hAnsi="仿宋" w:eastAsia="仿宋" w:cs="仿宋"/>
        </w:rPr>
      </w:pPr>
      <w:bookmarkStart w:id="0" w:name="_Toc4118"/>
      <w:bookmarkStart w:id="1" w:name="_Toc19043"/>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胥城食品公司咸鸭蛋礼盒采购</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SXCG202004-C-010</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w:t>
      </w:r>
    </w:p>
    <w:p>
      <w:pPr>
        <w:rPr>
          <w:rFonts w:hint="eastAsia" w:ascii="仿宋" w:hAnsi="仿宋" w:eastAsia="仿宋" w:cs="仿宋"/>
          <w:sz w:val="24"/>
          <w:szCs w:val="28"/>
        </w:rPr>
      </w:pPr>
      <w:r>
        <w:rPr>
          <w:rFonts w:hint="eastAsia" w:ascii="仿宋" w:hAnsi="仿宋" w:eastAsia="仿宋" w:cs="仿宋"/>
          <w:sz w:val="24"/>
          <w:szCs w:val="28"/>
        </w:rPr>
        <w:t xml:space="preserve">                                            日期：20</w:t>
      </w:r>
      <w:r>
        <w:rPr>
          <w:rFonts w:hint="eastAsia" w:ascii="仿宋" w:hAnsi="仿宋" w:eastAsia="仿宋" w:cs="仿宋"/>
          <w:sz w:val="24"/>
          <w:szCs w:val="28"/>
          <w:lang w:val="en-US" w:eastAsia="zh-CN"/>
        </w:rPr>
        <w:t>20</w:t>
      </w:r>
      <w:r>
        <w:rPr>
          <w:rFonts w:hint="eastAsia" w:ascii="仿宋" w:hAnsi="仿宋" w:eastAsia="仿宋" w:cs="仿宋"/>
          <w:sz w:val="24"/>
          <w:szCs w:val="28"/>
        </w:rPr>
        <w:t>年</w:t>
      </w:r>
      <w:r>
        <w:rPr>
          <w:rFonts w:hint="eastAsia" w:ascii="仿宋" w:hAnsi="仿宋" w:eastAsia="仿宋" w:cs="仿宋"/>
          <w:sz w:val="24"/>
          <w:szCs w:val="28"/>
          <w:lang w:val="en-US" w:eastAsia="zh-CN"/>
        </w:rPr>
        <w:t>04</w:t>
      </w:r>
      <w:r>
        <w:rPr>
          <w:rFonts w:hint="eastAsia" w:ascii="仿宋" w:hAnsi="仿宋" w:eastAsia="仿宋" w:cs="仿宋"/>
          <w:sz w:val="24"/>
          <w:szCs w:val="28"/>
        </w:rPr>
        <w:t>月</w:t>
      </w:r>
      <w:r>
        <w:rPr>
          <w:rFonts w:hint="eastAsia" w:ascii="仿宋" w:hAnsi="仿宋" w:eastAsia="仿宋" w:cs="仿宋"/>
          <w:sz w:val="24"/>
          <w:szCs w:val="28"/>
          <w:lang w:val="en-US" w:eastAsia="zh-CN"/>
        </w:rPr>
        <w:t>15</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5"/>
        <w:numPr>
          <w:ilvl w:val="0"/>
          <w:numId w:val="1"/>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6"/>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：SXCG202004-C-010</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：胥城食品公司咸鸭蛋礼盒采购</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8"/>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招标文件咨询联系人：周工，电话：18817376790</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w:t>
            </w:r>
            <w:r>
              <w:rPr>
                <w:rFonts w:hint="eastAsia" w:ascii="仿宋" w:hAnsi="仿宋" w:eastAsia="仿宋" w:cs="仿宋"/>
                <w:sz w:val="24"/>
                <w:szCs w:val="24"/>
                <w:highlight w:val="yellow"/>
                <w:lang w:val="en-US" w:eastAsia="zh-CN"/>
              </w:rPr>
              <w:t>2020年04  月23日前</w:t>
            </w:r>
            <w:r>
              <w:rPr>
                <w:rFonts w:hint="eastAsia" w:ascii="仿宋" w:hAnsi="仿宋" w:eastAsia="仿宋" w:cs="仿宋"/>
                <w:sz w:val="24"/>
                <w:szCs w:val="24"/>
                <w:lang w:val="en-US" w:eastAsia="zh-CN"/>
              </w:rPr>
              <w:t>，发到各投标单位邮箱。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4、需提供食品生产许可证、食品生产许可品种明细表、食品流通许可证复印件并加盖公章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5、提供符合招标范围的营业执照复印件并加盖公章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6、提供第三方质量检测合格报告</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7、产品保质期不得低于180天</w:t>
            </w:r>
          </w:p>
          <w:p>
            <w:pPr>
              <w:numPr>
                <w:ilvl w:val="0"/>
                <w:numId w:val="0"/>
              </w:numPr>
              <w:spacing w:line="400" w:lineRule="atLeast"/>
              <w:rPr>
                <w:rFonts w:hint="default"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8、能够积极机动配合，配置外纸箱（大）</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2020</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04</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26</w:t>
            </w:r>
            <w:r>
              <w:rPr>
                <w:rFonts w:hint="eastAsia" w:ascii="仿宋" w:hAnsi="仿宋" w:eastAsia="仿宋" w:cs="仿宋"/>
                <w:b/>
                <w:bCs/>
                <w:color w:val="auto"/>
                <w:sz w:val="24"/>
                <w:szCs w:val="24"/>
                <w:highlight w:val="yellow"/>
              </w:rPr>
              <w:t>日</w:t>
            </w:r>
            <w:r>
              <w:rPr>
                <w:rFonts w:hint="eastAsia" w:ascii="仿宋" w:hAnsi="仿宋" w:eastAsia="仿宋" w:cs="仿宋"/>
                <w:b/>
                <w:bCs/>
                <w:color w:val="auto"/>
                <w:sz w:val="24"/>
                <w:szCs w:val="24"/>
                <w:highlight w:val="yellow"/>
                <w:lang w:eastAsia="zh-CN"/>
              </w:rPr>
              <w:t>下</w:t>
            </w:r>
            <w:r>
              <w:rPr>
                <w:rFonts w:hint="eastAsia" w:ascii="仿宋" w:hAnsi="仿宋" w:eastAsia="仿宋" w:cs="仿宋"/>
                <w:b/>
                <w:bCs/>
                <w:color w:val="auto"/>
                <w:sz w:val="24"/>
                <w:szCs w:val="24"/>
                <w:highlight w:val="yellow"/>
              </w:rPr>
              <w:t>午1</w:t>
            </w:r>
            <w:r>
              <w:rPr>
                <w:rFonts w:hint="eastAsia" w:ascii="仿宋" w:hAnsi="仿宋" w:eastAsia="仿宋" w:cs="仿宋"/>
                <w:b/>
                <w:bCs/>
                <w:color w:val="auto"/>
                <w:sz w:val="24"/>
                <w:szCs w:val="24"/>
                <w:highlight w:val="yellow"/>
                <w:lang w:val="en-US" w:eastAsia="zh-CN"/>
              </w:rPr>
              <w:t>5</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2"/>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2"/>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3"/>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b/>
          <w:bCs/>
          <w:sz w:val="24"/>
          <w:szCs w:val="24"/>
          <w:lang w:eastAsia="zh-CN"/>
        </w:rPr>
      </w:pPr>
      <w:r>
        <w:rPr>
          <w:rFonts w:hint="eastAsia" w:ascii="仿宋" w:hAnsi="仿宋" w:eastAsia="仿宋" w:cs="仿宋"/>
          <w:sz w:val="24"/>
          <w:szCs w:val="24"/>
          <w:lang w:eastAsia="zh-CN"/>
        </w:rPr>
        <w:t>①、投标报价</w:t>
      </w:r>
    </w:p>
    <w:p>
      <w:pPr>
        <w:rPr>
          <w:rFonts w:hint="eastAsia" w:ascii="仿宋" w:hAnsi="仿宋" w:eastAsia="仿宋" w:cs="仿宋"/>
          <w:b/>
          <w:bCs/>
          <w:szCs w:val="21"/>
          <w:lang w:eastAsia="zh-CN"/>
        </w:rPr>
      </w:pPr>
      <w:r>
        <w:rPr>
          <w:rFonts w:hint="eastAsia" w:ascii="仿宋" w:hAnsi="仿宋" w:eastAsia="仿宋" w:cs="仿宋"/>
          <w:b/>
          <w:bCs/>
          <w:szCs w:val="21"/>
          <w:lang w:eastAsia="zh-CN"/>
        </w:rPr>
        <w:br w:type="page"/>
      </w:r>
    </w:p>
    <w:p>
      <w:pPr>
        <w:pStyle w:val="5"/>
        <w:jc w:val="center"/>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bookmarkEnd w:id="4"/>
    </w:p>
    <w:p>
      <w:pPr>
        <w:numPr>
          <w:ilvl w:val="0"/>
          <w:numId w:val="0"/>
        </w:numPr>
        <w:spacing w:line="400" w:lineRule="atLeast"/>
        <w:rPr>
          <w:rFonts w:hint="eastAsia" w:ascii="仿宋" w:hAnsi="仿宋" w:eastAsia="仿宋" w:cs="仿宋"/>
          <w:sz w:val="24"/>
          <w:szCs w:val="24"/>
          <w:lang w:val="en-US" w:eastAsia="zh-CN"/>
        </w:rPr>
      </w:pPr>
    </w:p>
    <w:p>
      <w:pPr>
        <w:numPr>
          <w:ilvl w:val="0"/>
          <w:numId w:val="4"/>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数量及规格要求</w:t>
      </w:r>
    </w:p>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咸鸭蛋礼盒采购清单</w:t>
      </w:r>
    </w:p>
    <w:tbl>
      <w:tblPr>
        <w:tblStyle w:val="6"/>
        <w:tblW w:w="9156" w:type="dxa"/>
        <w:tblInd w:w="0" w:type="dxa"/>
        <w:shd w:val="clear" w:color="auto" w:fill="auto"/>
        <w:tblLayout w:type="fixed"/>
        <w:tblCellMar>
          <w:top w:w="0" w:type="dxa"/>
          <w:left w:w="0" w:type="dxa"/>
          <w:bottom w:w="0" w:type="dxa"/>
          <w:right w:w="0" w:type="dxa"/>
        </w:tblCellMar>
      </w:tblPr>
      <w:tblGrid>
        <w:gridCol w:w="767"/>
        <w:gridCol w:w="1139"/>
        <w:gridCol w:w="1693"/>
        <w:gridCol w:w="1395"/>
        <w:gridCol w:w="1391"/>
        <w:gridCol w:w="1391"/>
        <w:gridCol w:w="1380"/>
      </w:tblGrid>
      <w:tr>
        <w:tblPrEx>
          <w:shd w:val="clear" w:color="auto" w:fill="auto"/>
          <w:tblCellMar>
            <w:top w:w="0" w:type="dxa"/>
            <w:left w:w="0" w:type="dxa"/>
            <w:bottom w:w="0" w:type="dxa"/>
            <w:right w:w="0" w:type="dxa"/>
          </w:tblCellMar>
        </w:tblPrEx>
        <w:trPr>
          <w:trHeight w:val="5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序号</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品种</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规格</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数量（盒）</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单价（元/盒）</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金额</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咸鸭蛋礼盒</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20只/盒</w:t>
            </w:r>
          </w:p>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65g-70g/只</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color w:val="000000"/>
                <w:kern w:val="0"/>
                <w:sz w:val="24"/>
                <w:szCs w:val="24"/>
                <w:u w:val="none"/>
                <w:lang w:val="en-US" w:eastAsia="zh-CN" w:bidi="ar"/>
              </w:rPr>
              <w:t>11000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税金9%</w:t>
            </w:r>
            <w:bookmarkStart w:id="9" w:name="_GoBack"/>
            <w:bookmarkEnd w:id="9"/>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运费、包材及人工等</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bl>
    <w:p>
      <w:pPr>
        <w:numPr>
          <w:ilvl w:val="0"/>
          <w:numId w:val="0"/>
        </w:numPr>
        <w:spacing w:line="400" w:lineRule="atLeast"/>
        <w:jc w:val="center"/>
        <w:rPr>
          <w:rFonts w:hint="eastAsia" w:ascii="仿宋" w:hAnsi="仿宋" w:eastAsia="仿宋" w:cs="仿宋"/>
          <w:b/>
          <w:bCs/>
          <w:sz w:val="24"/>
          <w:szCs w:val="24"/>
          <w:lang w:val="en-US" w:eastAsia="zh-CN"/>
        </w:rPr>
      </w:pPr>
    </w:p>
    <w:p>
      <w:pPr>
        <w:pStyle w:val="5"/>
        <w:numPr>
          <w:ilvl w:val="0"/>
          <w:numId w:val="5"/>
        </w:numPr>
        <w:jc w:val="center"/>
        <w:rPr>
          <w:rFonts w:hint="eastAsia" w:ascii="仿宋" w:hAnsi="仿宋" w:eastAsia="仿宋" w:cs="仿宋"/>
          <w:lang w:eastAsia="zh-CN"/>
        </w:rPr>
      </w:pPr>
      <w:bookmarkStart w:id="5" w:name="_Toc18620"/>
      <w:r>
        <w:rPr>
          <w:rFonts w:hint="eastAsia" w:ascii="仿宋" w:hAnsi="仿宋" w:eastAsia="仿宋" w:cs="仿宋"/>
          <w:lang w:eastAsia="zh-CN"/>
        </w:rPr>
        <w:t>合同主要条款</w:t>
      </w:r>
      <w:bookmarkEnd w:id="5"/>
    </w:p>
    <w:p>
      <w:pPr>
        <w:rPr>
          <w:rFonts w:hint="eastAsia" w:ascii="仿宋" w:hAnsi="仿宋" w:eastAsia="仿宋" w:cs="仿宋"/>
          <w:b/>
          <w:sz w:val="24"/>
        </w:rPr>
      </w:pPr>
      <w:r>
        <w:rPr>
          <w:rFonts w:hint="eastAsia" w:ascii="仿宋" w:hAnsi="仿宋" w:eastAsia="仿宋" w:cs="仿宋"/>
          <w:b/>
          <w:sz w:val="24"/>
        </w:rPr>
        <w:t>采购方（甲方）：</w:t>
      </w:r>
    </w:p>
    <w:p>
      <w:pPr>
        <w:rPr>
          <w:rFonts w:hint="eastAsia" w:ascii="仿宋" w:hAnsi="仿宋" w:eastAsia="仿宋" w:cs="仿宋"/>
          <w:b/>
          <w:sz w:val="24"/>
        </w:rPr>
      </w:pPr>
      <w:r>
        <w:rPr>
          <w:rFonts w:hint="eastAsia" w:ascii="仿宋" w:hAnsi="仿宋" w:eastAsia="仿宋" w:cs="仿宋"/>
          <w:b/>
          <w:sz w:val="24"/>
        </w:rPr>
        <w:t>地址：</w:t>
      </w:r>
      <w:r>
        <w:rPr>
          <w:rFonts w:hint="eastAsia" w:ascii="仿宋" w:hAnsi="仿宋" w:eastAsia="仿宋" w:cs="仿宋"/>
          <w:b/>
          <w:sz w:val="24"/>
          <w:szCs w:val="24"/>
        </w:rPr>
        <w:t xml:space="preserve">                                        电话：</w:t>
      </w:r>
      <w:r>
        <w:rPr>
          <w:rFonts w:hint="eastAsia" w:ascii="仿宋" w:hAnsi="仿宋" w:eastAsia="仿宋" w:cs="仿宋"/>
          <w:b/>
          <w:sz w:val="24"/>
        </w:rPr>
        <w:t xml:space="preserve">       </w:t>
      </w:r>
    </w:p>
    <w:p>
      <w:pPr>
        <w:rPr>
          <w:rFonts w:hint="eastAsia" w:ascii="仿宋" w:hAnsi="仿宋" w:eastAsia="仿宋" w:cs="仿宋"/>
          <w:b/>
          <w:sz w:val="24"/>
        </w:rPr>
      </w:pPr>
      <w:r>
        <w:rPr>
          <w:rFonts w:hint="eastAsia" w:ascii="仿宋" w:hAnsi="仿宋" w:eastAsia="仿宋" w:cs="仿宋"/>
          <w:b/>
          <w:sz w:val="24"/>
        </w:rPr>
        <w:t>供货方（乙方）：</w:t>
      </w:r>
    </w:p>
    <w:p>
      <w:pPr>
        <w:rPr>
          <w:rFonts w:hint="eastAsia" w:ascii="仿宋" w:hAnsi="仿宋" w:eastAsia="仿宋" w:cs="仿宋"/>
          <w:b/>
          <w:sz w:val="24"/>
        </w:rPr>
      </w:pPr>
      <w:r>
        <w:rPr>
          <w:rFonts w:hint="eastAsia" w:ascii="仿宋" w:hAnsi="仿宋" w:eastAsia="仿宋" w:cs="仿宋"/>
          <w:b/>
          <w:sz w:val="24"/>
        </w:rPr>
        <w:t>地址：                                        电话：</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购销双方依据《中华人民共和国合同法》及其他相关法律法规，经过自愿平等协商，就</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采购达成协议如下：</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第一条</w:t>
      </w:r>
      <w:r>
        <w:rPr>
          <w:rFonts w:hint="eastAsia" w:ascii="仿宋" w:hAnsi="仿宋" w:eastAsia="仿宋" w:cs="仿宋"/>
          <w:color w:val="000000"/>
          <w:sz w:val="24"/>
          <w:szCs w:val="21"/>
        </w:rPr>
        <w:t xml:space="preserve"> 乙方向甲方提供如下产品（详见下表清单：单价为含税含运费）</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品名</w:t>
            </w:r>
          </w:p>
        </w:tc>
        <w:tc>
          <w:tcPr>
            <w:tcW w:w="184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规格</w:t>
            </w:r>
          </w:p>
        </w:tc>
        <w:tc>
          <w:tcPr>
            <w:tcW w:w="1276"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数量</w:t>
            </w:r>
          </w:p>
        </w:tc>
        <w:tc>
          <w:tcPr>
            <w:tcW w:w="99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单价</w:t>
            </w:r>
          </w:p>
        </w:tc>
        <w:tc>
          <w:tcPr>
            <w:tcW w:w="1134"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金额</w:t>
            </w:r>
          </w:p>
        </w:tc>
        <w:tc>
          <w:tcPr>
            <w:tcW w:w="1043"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spacing w:line="360" w:lineRule="exact"/>
              <w:jc w:val="center"/>
              <w:rPr>
                <w:rFonts w:hint="eastAsia" w:ascii="仿宋" w:hAnsi="仿宋" w:eastAsia="仿宋" w:cs="仿宋"/>
                <w:color w:val="000000"/>
                <w:szCs w:val="21"/>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spacing w:line="36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ind w:firstLine="360" w:firstLineChars="150"/>
              <w:rPr>
                <w:rFonts w:hint="eastAsia" w:ascii="仿宋" w:hAnsi="仿宋" w:eastAsia="仿宋" w:cs="仿宋"/>
                <w:color w:val="000000"/>
                <w:sz w:val="24"/>
                <w:szCs w:val="21"/>
              </w:rPr>
            </w:pPr>
            <w:r>
              <w:rPr>
                <w:rFonts w:hint="eastAsia" w:ascii="仿宋" w:hAnsi="仿宋" w:eastAsia="仿宋" w:cs="仿宋"/>
                <w:color w:val="000000"/>
                <w:sz w:val="24"/>
                <w:szCs w:val="21"/>
              </w:rPr>
              <w:t>计</w:t>
            </w:r>
          </w:p>
        </w:tc>
        <w:tc>
          <w:tcPr>
            <w:tcW w:w="6287" w:type="dxa"/>
            <w:gridSpan w:val="5"/>
            <w:noWrap w:val="0"/>
            <w:vAlign w:val="top"/>
          </w:tcPr>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             大写人民币：</w:t>
            </w:r>
          </w:p>
        </w:tc>
      </w:tr>
    </w:tbl>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第二条</w:t>
      </w:r>
      <w:r>
        <w:rPr>
          <w:rFonts w:hint="eastAsia" w:ascii="仿宋" w:hAnsi="仿宋" w:eastAsia="仿宋" w:cs="仿宋"/>
          <w:color w:val="000000"/>
          <w:sz w:val="24"/>
          <w:szCs w:val="21"/>
        </w:rPr>
        <w:t xml:space="preserve"> 合同履行地及交货方式：合同履行地在甲方，由乙方</w:t>
      </w:r>
      <w:r>
        <w:rPr>
          <w:rFonts w:hint="eastAsia" w:ascii="仿宋" w:hAnsi="仿宋" w:eastAsia="仿宋" w:cs="仿宋"/>
          <w:color w:val="000000"/>
          <w:spacing w:val="18"/>
          <w:kern w:val="0"/>
          <w:sz w:val="24"/>
          <w:szCs w:val="21"/>
        </w:rPr>
        <w:t>将货物交付至甲方指定地点：</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第三条</w:t>
      </w:r>
      <w:r>
        <w:rPr>
          <w:rFonts w:hint="eastAsia" w:ascii="仿宋" w:hAnsi="仿宋" w:eastAsia="仿宋" w:cs="仿宋"/>
          <w:color w:val="000000"/>
          <w:sz w:val="24"/>
          <w:szCs w:val="21"/>
        </w:rPr>
        <w:t xml:space="preserve"> 运费承担按照以下第</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种方式执行。</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ab/>
      </w:r>
      <w:r>
        <w:rPr>
          <w:rFonts w:hint="eastAsia" w:ascii="仿宋" w:hAnsi="仿宋" w:eastAsia="仿宋" w:cs="仿宋"/>
          <w:color w:val="000000"/>
          <w:sz w:val="24"/>
          <w:szCs w:val="21"/>
        </w:rPr>
        <w:t>（1）甲方承担；               （2）乙方承担。</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第四条</w:t>
      </w:r>
      <w:r>
        <w:rPr>
          <w:rFonts w:hint="eastAsia" w:ascii="仿宋" w:hAnsi="仿宋" w:eastAsia="仿宋" w:cs="仿宋"/>
          <w:color w:val="000000"/>
          <w:sz w:val="24"/>
          <w:szCs w:val="21"/>
        </w:rPr>
        <w:t xml:space="preserve"> 质量标准：依甲方认可的质量标准进行验收，其具体要求：</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第五条</w:t>
      </w:r>
      <w:r>
        <w:rPr>
          <w:rFonts w:hint="eastAsia" w:ascii="仿宋" w:hAnsi="仿宋" w:eastAsia="仿宋" w:cs="仿宋"/>
          <w:color w:val="000000"/>
          <w:sz w:val="24"/>
          <w:szCs w:val="21"/>
        </w:rPr>
        <w:t xml:space="preserve"> 乙方应当提供主管部门出具的证明文件(或者批准证书)，因文件不全而导致物的所有权不能及时转移给甲方的，乙方应承担违约责任。</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第六条</w:t>
      </w:r>
      <w:r>
        <w:rPr>
          <w:rFonts w:hint="eastAsia" w:ascii="仿宋" w:hAnsi="仿宋" w:eastAsia="仿宋" w:cs="仿宋"/>
          <w:color w:val="000000"/>
          <w:sz w:val="24"/>
          <w:szCs w:val="21"/>
        </w:rPr>
        <w:t xml:space="preserve"> 交货时间：</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第七条</w:t>
      </w:r>
      <w:r>
        <w:rPr>
          <w:rFonts w:hint="eastAsia" w:ascii="仿宋" w:hAnsi="仿宋" w:eastAsia="仿宋" w:cs="仿宋"/>
          <w:color w:val="000000"/>
          <w:sz w:val="24"/>
          <w:szCs w:val="21"/>
        </w:rPr>
        <w:t xml:space="preserve"> 价款支付时间、方式</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7．1付款时间与付款方式，除双方另有书面协议外，应于甲方验收乙方货品合格及出具验收文件后，且经甲方收到乙方发票之日起计算。</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7.2</w:t>
      </w:r>
      <w:r>
        <w:rPr>
          <w:rFonts w:hint="eastAsia" w:ascii="仿宋" w:hAnsi="仿宋" w:eastAsia="仿宋" w:cs="仿宋"/>
          <w:color w:val="000000"/>
          <w:sz w:val="24"/>
          <w:szCs w:val="28"/>
        </w:rPr>
        <w:tab/>
      </w:r>
      <w:r>
        <w:rPr>
          <w:rFonts w:hint="eastAsia" w:ascii="仿宋" w:hAnsi="仿宋" w:eastAsia="仿宋" w:cs="仿宋"/>
          <w:color w:val="000000"/>
          <w:sz w:val="24"/>
          <w:szCs w:val="28"/>
        </w:rPr>
        <w:t>如乙方供货存在不合格品或有短缺，且甲方决定不再接受乙方更换的合格品或补足短缺之货品时，则甲方有权自该笔货款付款中减除相应的不合格品或短少货物的款项</w:t>
      </w:r>
      <w:r>
        <w:rPr>
          <w:rFonts w:hint="eastAsia" w:ascii="仿宋" w:hAnsi="仿宋" w:eastAsia="仿宋" w:cs="仿宋"/>
          <w:color w:val="000000"/>
          <w:sz w:val="24"/>
        </w:rPr>
        <w:t>及因退货而生之运费与相关费用</w:t>
      </w:r>
      <w:r>
        <w:rPr>
          <w:rFonts w:hint="eastAsia" w:ascii="仿宋" w:hAnsi="仿宋" w:eastAsia="仿宋" w:cs="仿宋"/>
          <w:color w:val="000000"/>
          <w:sz w:val="24"/>
          <w:szCs w:val="28"/>
        </w:rPr>
        <w:t>。</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7.3 乙方违反本合同任一约定时，甲方有权在应付货款中扣除乙方因违约而应承担的所有费用与违约金及赔偿金额。</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7.4</w:t>
      </w:r>
      <w:r>
        <w:rPr>
          <w:rFonts w:hint="eastAsia" w:ascii="仿宋" w:hAnsi="仿宋" w:eastAsia="仿宋" w:cs="仿宋"/>
          <w:color w:val="000000"/>
          <w:sz w:val="24"/>
          <w:szCs w:val="28"/>
        </w:rPr>
        <w:t>付款时间和付款方式：</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7.5乙方在应收到期的当期货款前三个工作日内事先向甲方开具正规税务发票，若逾期提供发票则甲方有权迟延或拒绝支付当期货款并不存担任何违约责任。</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第八条</w:t>
      </w:r>
      <w:r>
        <w:rPr>
          <w:rFonts w:hint="eastAsia" w:ascii="仿宋" w:hAnsi="仿宋" w:eastAsia="仿宋" w:cs="仿宋"/>
          <w:color w:val="000000"/>
          <w:sz w:val="24"/>
          <w:szCs w:val="21"/>
        </w:rPr>
        <w:t xml:space="preserve"> 变更和解除合同</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rPr>
        <w:t>8.1乙方不得将本合约全部或部分权利或义务移转予第三人。</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8.2</w:t>
      </w:r>
      <w:r>
        <w:rPr>
          <w:rFonts w:hint="eastAsia" w:ascii="仿宋" w:hAnsi="仿宋" w:eastAsia="仿宋" w:cs="仿宋"/>
          <w:color w:val="000000"/>
          <w:sz w:val="24"/>
          <w:szCs w:val="21"/>
          <w:u w:val="single"/>
        </w:rPr>
        <w:t xml:space="preserve">   无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第九条</w:t>
      </w:r>
      <w:r>
        <w:rPr>
          <w:rFonts w:hint="eastAsia" w:ascii="仿宋" w:hAnsi="仿宋" w:eastAsia="仿宋" w:cs="仿宋"/>
          <w:color w:val="000000"/>
          <w:sz w:val="24"/>
          <w:szCs w:val="21"/>
        </w:rPr>
        <w:t xml:space="preserve"> 不可抗力</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第十条</w:t>
      </w:r>
      <w:r>
        <w:rPr>
          <w:rFonts w:hint="eastAsia" w:ascii="仿宋" w:hAnsi="仿宋" w:eastAsia="仿宋" w:cs="仿宋"/>
          <w:color w:val="000000"/>
          <w:sz w:val="24"/>
          <w:szCs w:val="21"/>
        </w:rPr>
        <w:t xml:space="preserve"> 违约责任</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甲方违约责任：若甲方未按约定付款，每逾期一日，按未付款金额以银行同期贷款利率计算违约金。</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乙方违约责任：</w:t>
      </w:r>
    </w:p>
    <w:p>
      <w:pPr>
        <w:spacing w:line="360" w:lineRule="exact"/>
        <w:rPr>
          <w:rFonts w:hint="eastAsia" w:ascii="仿宋" w:hAnsi="仿宋" w:eastAsia="仿宋" w:cs="仿宋"/>
          <w:color w:val="000000"/>
          <w:kern w:val="0"/>
          <w:sz w:val="24"/>
        </w:rPr>
      </w:pPr>
      <w:r>
        <w:rPr>
          <w:rFonts w:hint="eastAsia" w:ascii="仿宋" w:hAnsi="仿宋" w:eastAsia="仿宋" w:cs="仿宋"/>
          <w:color w:val="000000"/>
          <w:sz w:val="24"/>
          <w:szCs w:val="21"/>
        </w:rPr>
        <w:t>1、</w:t>
      </w:r>
      <w:r>
        <w:rPr>
          <w:rFonts w:hint="eastAsia" w:ascii="仿宋" w:hAnsi="仿宋" w:eastAsia="仿宋" w:cs="仿宋"/>
          <w:color w:val="000000"/>
          <w:kern w:val="0"/>
          <w:sz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8"/>
          <w:u w:val="single"/>
        </w:rPr>
        <w:t>20%</w:t>
      </w:r>
      <w:r>
        <w:rPr>
          <w:rFonts w:hint="eastAsia" w:ascii="仿宋" w:hAnsi="仿宋" w:eastAsia="仿宋" w:cs="仿宋"/>
          <w:color w:val="000000"/>
          <w:sz w:val="24"/>
          <w:szCs w:val="28"/>
        </w:rPr>
        <w:t>的违约金。</w:t>
      </w:r>
    </w:p>
    <w:p>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4、乙方逾期交付发票的，按照逾期未交付发票的金额的1%向甲方支付违约金。</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5、乙方逾期交货经甲方书面通知后仍迟延或拒绝，甲方有权单方面解除本合同并赔偿甲方所遭受损失，解除合同通知心以甲方书面为准。</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第十一条</w:t>
      </w:r>
      <w:r>
        <w:rPr>
          <w:rFonts w:hint="eastAsia" w:ascii="仿宋" w:hAnsi="仿宋" w:eastAsia="仿宋" w:cs="仿宋"/>
          <w:color w:val="000000"/>
          <w:sz w:val="24"/>
          <w:szCs w:val="21"/>
        </w:rPr>
        <w:t xml:space="preserve"> 争端解决</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甲乙双方因合同的解释或履行发生争议时，首先应通过友好协商解决；协商不成的，任何一方应向甲方所在地有管辖权的人民法院提请诉讼。</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第十二条</w:t>
      </w:r>
      <w:r>
        <w:rPr>
          <w:rFonts w:hint="eastAsia" w:ascii="仿宋" w:hAnsi="仿宋" w:eastAsia="仿宋" w:cs="仿宋"/>
          <w:color w:val="000000"/>
          <w:sz w:val="24"/>
          <w:szCs w:val="21"/>
        </w:rPr>
        <w:t xml:space="preserve"> 本合同自双方当事人签字盖章后生效。</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第十三条</w:t>
      </w:r>
      <w:r>
        <w:rPr>
          <w:rFonts w:hint="eastAsia" w:ascii="仿宋" w:hAnsi="仿宋" w:eastAsia="仿宋" w:cs="仿宋"/>
          <w:color w:val="000000"/>
          <w:sz w:val="24"/>
          <w:szCs w:val="21"/>
        </w:rPr>
        <w:t xml:space="preserve"> 本合同一式四份，甲乙双方各执两份，具有同等效力。</w:t>
      </w:r>
    </w:p>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第十四条</w:t>
      </w:r>
      <w:r>
        <w:rPr>
          <w:rFonts w:hint="eastAsia" w:ascii="仿宋" w:hAnsi="仿宋" w:eastAsia="仿宋" w:cs="仿宋"/>
          <w:color w:val="000000"/>
          <w:sz w:val="24"/>
          <w:szCs w:val="21"/>
        </w:rPr>
        <w:t xml:space="preserve"> 本合同未尽事宜按照双方协商，另立补充协议，补充协议与本合同具有同等法律效力。</w:t>
      </w:r>
    </w:p>
    <w:p>
      <w:pPr>
        <w:spacing w:line="360" w:lineRule="exact"/>
        <w:rPr>
          <w:rFonts w:hint="eastAsia" w:ascii="仿宋" w:hAnsi="仿宋" w:eastAsia="仿宋" w:cs="仿宋"/>
          <w:sz w:val="24"/>
        </w:rPr>
      </w:pPr>
      <w:r>
        <w:rPr>
          <w:rFonts w:hint="eastAsia" w:ascii="仿宋" w:hAnsi="仿宋" w:eastAsia="仿宋" w:cs="仿宋"/>
          <w:b/>
          <w:bCs/>
          <w:color w:val="000000"/>
          <w:sz w:val="24"/>
          <w:szCs w:val="21"/>
        </w:rPr>
        <w:t>第十五条</w:t>
      </w:r>
      <w:r>
        <w:rPr>
          <w:rFonts w:hint="eastAsia" w:ascii="仿宋" w:hAnsi="仿宋" w:eastAsia="仿宋" w:cs="仿宋"/>
          <w:color w:val="000000"/>
          <w:sz w:val="24"/>
          <w:szCs w:val="21"/>
        </w:rPr>
        <w:t xml:space="preserve"> 其他约定事项：</w:t>
      </w:r>
      <w:r>
        <w:rPr>
          <w:rFonts w:hint="eastAsia" w:ascii="仿宋" w:hAnsi="仿宋" w:eastAsia="仿宋" w:cs="仿宋"/>
          <w:color w:val="000000"/>
          <w:sz w:val="24"/>
          <w:szCs w:val="21"/>
          <w:u w:val="single"/>
        </w:rPr>
        <w:t xml:space="preserve">                                                                                </w:t>
      </w:r>
    </w:p>
    <w:p>
      <w:pPr>
        <w:rPr>
          <w:rFonts w:hint="eastAsia" w:ascii="仿宋" w:hAnsi="仿宋" w:eastAsia="仿宋" w:cs="仿宋"/>
          <w:sz w:val="24"/>
        </w:rPr>
      </w:pPr>
      <w:r>
        <w:rPr>
          <w:rFonts w:hint="eastAsia" w:ascii="仿宋" w:hAnsi="仿宋" w:eastAsia="仿宋" w:cs="仿宋"/>
          <w:sz w:val="24"/>
        </w:rPr>
        <w:t>甲方：                                乙方：</w:t>
      </w:r>
    </w:p>
    <w:p>
      <w:pPr>
        <w:rPr>
          <w:rFonts w:hint="eastAsia" w:ascii="仿宋" w:hAnsi="仿宋" w:eastAsia="仿宋" w:cs="仿宋"/>
          <w:sz w:val="24"/>
        </w:rPr>
      </w:pPr>
      <w:r>
        <w:rPr>
          <w:rFonts w:hint="eastAsia" w:ascii="仿宋" w:hAnsi="仿宋" w:eastAsia="仿宋" w:cs="仿宋"/>
          <w:sz w:val="24"/>
        </w:rPr>
        <w:t>授权代表人（签字）：                   授权代表人（签字）：</w:t>
      </w:r>
    </w:p>
    <w:p>
      <w:pPr>
        <w:rPr>
          <w:rFonts w:hint="eastAsia" w:ascii="仿宋" w:hAnsi="仿宋" w:eastAsia="仿宋" w:cs="仿宋"/>
          <w:sz w:val="24"/>
        </w:rPr>
      </w:pPr>
      <w:r>
        <w:rPr>
          <w:rFonts w:hint="eastAsia" w:ascii="仿宋" w:hAnsi="仿宋" w:eastAsia="仿宋" w:cs="仿宋"/>
          <w:sz w:val="24"/>
        </w:rPr>
        <w:t>税号：                                税号：</w:t>
      </w:r>
    </w:p>
    <w:p>
      <w:pPr>
        <w:rPr>
          <w:rFonts w:hint="eastAsia" w:ascii="仿宋" w:hAnsi="仿宋" w:eastAsia="仿宋" w:cs="仿宋"/>
          <w:sz w:val="24"/>
        </w:rPr>
      </w:pPr>
      <w:r>
        <w:rPr>
          <w:rFonts w:hint="eastAsia" w:ascii="仿宋" w:hAnsi="仿宋" w:eastAsia="仿宋" w:cs="仿宋"/>
          <w:sz w:val="24"/>
        </w:rPr>
        <w:t>开户行：                              开户行：</w:t>
      </w:r>
    </w:p>
    <w:p>
      <w:pPr>
        <w:rPr>
          <w:rFonts w:hint="eastAsia" w:ascii="仿宋" w:hAnsi="仿宋" w:eastAsia="仿宋" w:cs="仿宋"/>
          <w:sz w:val="24"/>
        </w:rPr>
      </w:pPr>
      <w:r>
        <w:rPr>
          <w:rFonts w:hint="eastAsia" w:ascii="仿宋" w:hAnsi="仿宋" w:eastAsia="仿宋" w:cs="仿宋"/>
          <w:sz w:val="24"/>
        </w:rPr>
        <w:t>账号：                                账号：</w:t>
      </w:r>
    </w:p>
    <w:p>
      <w:pPr>
        <w:rPr>
          <w:rFonts w:hint="eastAsia" w:ascii="仿宋" w:hAnsi="仿宋" w:eastAsia="仿宋" w:cs="仿宋"/>
          <w:sz w:val="24"/>
        </w:rPr>
      </w:pPr>
      <w:r>
        <w:rPr>
          <w:rFonts w:hint="eastAsia" w:ascii="仿宋" w:hAnsi="仿宋" w:eastAsia="仿宋" w:cs="仿宋"/>
          <w:sz w:val="24"/>
        </w:rPr>
        <w:t>日期：   年  月  日                     日期：   年  月  日</w:t>
      </w: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tabs>
          <w:tab w:val="left" w:pos="794"/>
        </w:tabs>
        <w:rPr>
          <w:rFonts w:hint="eastAsia"/>
          <w:lang w:eastAsia="zh-CN"/>
        </w:rPr>
      </w:pPr>
    </w:p>
    <w:p>
      <w:pPr>
        <w:pStyle w:val="5"/>
        <w:jc w:val="center"/>
        <w:rPr>
          <w:rFonts w:hint="eastAsia" w:ascii="仿宋" w:hAnsi="仿宋" w:eastAsia="仿宋" w:cs="仿宋"/>
        </w:rPr>
      </w:pPr>
      <w:bookmarkStart w:id="6" w:name="_Toc6627"/>
      <w:bookmarkStart w:id="7" w:name="_Toc8991"/>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pStyle w:val="5"/>
        <w:jc w:val="center"/>
        <w:rPr>
          <w:rFonts w:hint="eastAsia" w:ascii="仿宋" w:hAnsi="仿宋" w:eastAsia="仿宋" w:cs="仿宋"/>
          <w:lang w:eastAsia="zh-CN"/>
        </w:rPr>
      </w:pPr>
      <w:bookmarkStart w:id="8" w:name="_Toc14110"/>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胥城食品公司咸鸭蛋礼盒采购</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胥城食品公司咸鸭蛋礼盒采购</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胥城食品公司咸鸭蛋礼盒采购</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胥城食品公司咸鸭蛋礼盒采购</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p/>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3114D5"/>
    <w:multiLevelType w:val="singleLevel"/>
    <w:tmpl w:val="1A3114D5"/>
    <w:lvl w:ilvl="0" w:tentative="0">
      <w:start w:val="4"/>
      <w:numFmt w:val="chineseCounting"/>
      <w:suff w:val="nothing"/>
      <w:lvlText w:val="第%1章、"/>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3CA8AC5A"/>
    <w:multiLevelType w:val="singleLevel"/>
    <w:tmpl w:val="3CA8AC5A"/>
    <w:lvl w:ilvl="0" w:tentative="0">
      <w:start w:val="1"/>
      <w:numFmt w:val="chineseCounting"/>
      <w:suff w:val="nothing"/>
      <w:lvlText w:val="%1、"/>
      <w:lvlJc w:val="left"/>
      <w:rPr>
        <w:rFonts w:hint="eastAsia"/>
      </w:rPr>
    </w:lvl>
  </w:abstractNum>
  <w:abstractNum w:abstractNumId="4">
    <w:nsid w:val="5A20AA93"/>
    <w:multiLevelType w:val="singleLevel"/>
    <w:tmpl w:val="5A20AA93"/>
    <w:lvl w:ilvl="0" w:tentative="0">
      <w:start w:val="2"/>
      <w:numFmt w:val="chineseCounting"/>
      <w:suff w:val="nothing"/>
      <w:lvlText w:val="第%1章"/>
      <w:lvlJc w:val="left"/>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146EF8"/>
    <w:rsid w:val="035E4A95"/>
    <w:rsid w:val="06165A99"/>
    <w:rsid w:val="0C172111"/>
    <w:rsid w:val="14A7030E"/>
    <w:rsid w:val="27CC78C3"/>
    <w:rsid w:val="2D846E77"/>
    <w:rsid w:val="434F15E3"/>
    <w:rsid w:val="4B146EF8"/>
    <w:rsid w:val="4F337425"/>
    <w:rsid w:val="530B58D0"/>
    <w:rsid w:val="5324624D"/>
    <w:rsid w:val="63103A37"/>
    <w:rsid w:val="6F0B1C85"/>
    <w:rsid w:val="6F341731"/>
    <w:rsid w:val="712F5770"/>
    <w:rsid w:val="71C21E79"/>
    <w:rsid w:val="7625506B"/>
    <w:rsid w:val="796D58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5">
    <w:name w:val="Title"/>
    <w:basedOn w:val="1"/>
    <w:next w:val="1"/>
    <w:qFormat/>
    <w:uiPriority w:val="0"/>
    <w:pPr>
      <w:spacing w:before="240" w:after="60"/>
      <w:jc w:val="center"/>
      <w:outlineLvl w:val="0"/>
    </w:pPr>
    <w:rPr>
      <w:rFonts w:asciiTheme="majorHAnsi" w:hAnsiTheme="majorHAnsi" w:cstheme="majorBidi"/>
      <w:b/>
      <w:bCs/>
      <w:sz w:val="32"/>
      <w:szCs w:val="32"/>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paragraph" w:customStyle="1" w:styleId="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57</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2020-04-15T02:54:00Z</dcterms:created>
  <dc:creator>鱼鱼鱼鱼鱼</dc:creator>
  <cp:lastModifiedBy>鱼鱼鱼鱼鱼</cp:lastModifiedBy>
  <dcterms:modified xsi:type="dcterms:W3CDTF">2020-04-21T05:47:03Z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