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SXCG202003-F-005</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书香酒店集团EAS系统硬件升级项目</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书香酒店投资管理集团有限公司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03</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1"/>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_Toc21649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_Toc21649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_Toc29502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_Toc29502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_Toc6169 </w:instrText>
      </w:r>
      <w:r>
        <w:rPr>
          <w:rFonts w:hint="eastAsia" w:ascii="仿宋" w:hAnsi="仿宋" w:eastAsia="仿宋" w:cs="仿宋"/>
        </w:rPr>
        <w:fldChar w:fldCharType="separate"/>
      </w:r>
      <w:r>
        <w:rPr>
          <w:rFonts w:hint="eastAsia" w:ascii="仿宋" w:hAnsi="仿宋" w:eastAsia="仿宋" w:cs="仿宋"/>
          <w:lang w:val="en-US" w:eastAsia="zh-CN"/>
        </w:rPr>
        <w:t>第三章 、项目技术及验收要求</w:t>
      </w:r>
      <w:r>
        <w:tab/>
      </w:r>
      <w:r>
        <w:fldChar w:fldCharType="begin"/>
      </w:r>
      <w:r>
        <w:instrText xml:space="preserve"> PAGEREF _Toc6169 </w:instrText>
      </w:r>
      <w:r>
        <w:fldChar w:fldCharType="separate"/>
      </w:r>
      <w:r>
        <w:t>7</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_Toc31379 </w:instrText>
      </w:r>
      <w:r>
        <w:rPr>
          <w:rFonts w:hint="eastAsia" w:ascii="仿宋" w:hAnsi="仿宋" w:eastAsia="仿宋" w:cs="仿宋"/>
        </w:rPr>
        <w:fldChar w:fldCharType="separate"/>
      </w:r>
      <w:r>
        <w:rPr>
          <w:rFonts w:hint="eastAsia" w:ascii="仿宋" w:hAnsi="仿宋" w:eastAsia="仿宋" w:cs="仿宋"/>
          <w:lang w:val="en-US" w:eastAsia="zh-CN"/>
        </w:rPr>
        <w:t>第四章 、评分标准</w:t>
      </w:r>
      <w:r>
        <w:tab/>
      </w:r>
      <w:r>
        <w:fldChar w:fldCharType="begin"/>
      </w:r>
      <w:r>
        <w:instrText xml:space="preserve"> PAGEREF _Toc31379 </w:instrText>
      </w:r>
      <w:r>
        <w:fldChar w:fldCharType="separate"/>
      </w:r>
      <w:r>
        <w:t>9</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_Toc9456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_Toc9456 </w:instrText>
      </w:r>
      <w:r>
        <w:fldChar w:fldCharType="separate"/>
      </w:r>
      <w:r>
        <w:t>10</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_Toc8618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_Toc8618 </w:instrText>
      </w:r>
      <w:r>
        <w:fldChar w:fldCharType="separate"/>
      </w:r>
      <w:r>
        <w:t>12</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4118"/>
      <w:bookmarkStart w:id="1" w:name="_Toc21649"/>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书香酒店集团EAS系统硬件升级项目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SXCG202003-F-005</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w:t>
      </w:r>
      <w:r>
        <w:rPr>
          <w:rFonts w:hint="eastAsia" w:ascii="仿宋" w:hAnsi="仿宋" w:eastAsia="仿宋" w:cs="仿宋"/>
          <w:sz w:val="24"/>
          <w:szCs w:val="28"/>
          <w:highlight w:val="yellow"/>
          <w:lang w:eastAsia="zh-CN"/>
        </w:rPr>
        <w:t>合理低价者进行合作</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2950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2"/>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b/>
                <w:bCs/>
                <w:sz w:val="24"/>
                <w:szCs w:val="24"/>
                <w:highlight w:val="none"/>
                <w:lang w:val="en-US" w:eastAsia="zh-CN"/>
              </w:rPr>
              <w:t>招标编号</w:t>
            </w:r>
            <w:r>
              <w:rPr>
                <w:rFonts w:hint="eastAsia" w:ascii="仿宋" w:hAnsi="仿宋" w:eastAsia="仿宋" w:cs="仿宋"/>
                <w:sz w:val="24"/>
                <w:szCs w:val="24"/>
                <w:highlight w:val="none"/>
                <w:lang w:val="en-US" w:eastAsia="zh-CN"/>
              </w:rPr>
              <w:t>：SXCG202003-F-005</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b/>
                <w:bCs/>
                <w:sz w:val="24"/>
                <w:szCs w:val="24"/>
                <w:highlight w:val="none"/>
                <w:lang w:val="en-US" w:eastAsia="zh-CN"/>
              </w:rPr>
              <w:t>项目名称</w:t>
            </w:r>
            <w:r>
              <w:rPr>
                <w:rFonts w:hint="eastAsia" w:ascii="仿宋" w:hAnsi="仿宋" w:eastAsia="仿宋" w:cs="仿宋"/>
                <w:sz w:val="24"/>
                <w:szCs w:val="24"/>
                <w:highlight w:val="none"/>
                <w:lang w:val="en-US" w:eastAsia="zh-CN"/>
              </w:rPr>
              <w:t>：书香酒店集团EAS系统硬件升级项目</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b/>
                <w:bCs/>
                <w:sz w:val="24"/>
                <w:szCs w:val="24"/>
                <w:highlight w:val="none"/>
                <w:lang w:val="en-US" w:eastAsia="zh-CN"/>
              </w:rPr>
              <w:t>项目要求</w:t>
            </w:r>
            <w:r>
              <w:rPr>
                <w:rFonts w:hint="eastAsia" w:ascii="仿宋" w:hAnsi="仿宋" w:eastAsia="仿宋" w:cs="仿宋"/>
                <w:sz w:val="24"/>
                <w:szCs w:val="24"/>
                <w:highlight w:val="none"/>
                <w:lang w:val="en-US" w:eastAsia="zh-CN"/>
              </w:rPr>
              <w:t>：具体见第三章。</w:t>
            </w:r>
          </w:p>
          <w:p>
            <w:pPr>
              <w:spacing w:line="400" w:lineRule="atLeast"/>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投标有效期：45天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5"/>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招标文件咨询联系人：周工，电话：17761883525</w:t>
            </w:r>
          </w:p>
          <w:p>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技术支持咨询联系人：朱工 ，电话：15050127276</w:t>
            </w:r>
          </w:p>
          <w:p>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联系地址：苏州姑苏区三香路333号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①、2020年03月13日前，发到各投标单位邮箱。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一</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03</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16</w:t>
            </w:r>
            <w:r>
              <w:rPr>
                <w:rFonts w:hint="eastAsia" w:ascii="仿宋" w:hAnsi="仿宋" w:eastAsia="仿宋" w:cs="仿宋"/>
                <w:b/>
                <w:bCs/>
                <w:color w:val="auto"/>
                <w:sz w:val="24"/>
                <w:szCs w:val="24"/>
                <w:highlight w:val="yellow"/>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投标文件接收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8"/>
                <w:highlight w:val="yellow"/>
                <w:lang w:eastAsia="zh-CN"/>
              </w:rPr>
              <w:t>具体见本文件“第四章”</w:t>
            </w:r>
            <w:r>
              <w:rPr>
                <w:rFonts w:hint="eastAsia" w:ascii="仿宋" w:hAnsi="仿宋" w:eastAsia="仿宋" w:cs="仿宋"/>
                <w:sz w:val="24"/>
                <w:szCs w:val="28"/>
                <w:highlight w:val="none"/>
                <w:lang w:eastAsia="zh-CN"/>
              </w:rPr>
              <w:t>）</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投标报价含人工费、咨询费、税率、运维费、交通费等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投标单位资质要求</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①、投标单位必须是有独立法人资格的制造或经销企业</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②、投标人需要有能力在苏州提供长期服务</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w:t>
            </w:r>
            <w:r>
              <w:rPr>
                <w:rFonts w:hint="eastAsia" w:ascii="仿宋" w:hAnsi="仿宋" w:eastAsia="仿宋" w:cs="仿宋"/>
                <w:sz w:val="24"/>
                <w:szCs w:val="24"/>
                <w:highlight w:val="yellow"/>
                <w:lang w:eastAsia="zh-CN"/>
              </w:rPr>
              <w:t>本次采购HP设备需提供原厂三年质保</w:t>
            </w:r>
            <w:r>
              <w:rPr>
                <w:rFonts w:hint="eastAsia" w:ascii="仿宋" w:hAnsi="仿宋" w:eastAsia="仿宋" w:cs="仿宋"/>
                <w:sz w:val="24"/>
                <w:szCs w:val="24"/>
                <w:lang w:eastAsia="zh-CN"/>
              </w:rPr>
              <w:t>。 投标人所投产品需为原厂正品，投标时需提供原厂针对此项目的售后服务承诺，原厂质保三年，并通过原厂400售后电话验证正品。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付款条件</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收到发票的10个工作日内支付合同金额的30%作为首付款，验收后收到发票的10个工作日内支付合同金额的60%。留10%的质保金一年后支付。中标方需提供增值税专用发票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4、全部投标文件应一式2份，正本1份，副本1份，并且注明“正本”和“副本”。如正本与副本不符，以正本为准。投标文件应由投标人的合法授权代表正式签署。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（1）收件人名称及地址</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（2）招标项目名称</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（1）投标文件未密封或投标现场填写报价者；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（2）未加盖单位印章者；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（3）未按照要求签署承诺函或自主修改承诺函内容的；</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（4）投标文件中未能包含本招标文件规定的全部基本内容者；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（5）递交两份以上不同投标书者；</w:t>
      </w:r>
    </w:p>
    <w:p>
      <w:pPr>
        <w:spacing w:line="360" w:lineRule="auto"/>
        <w:rPr>
          <w:rFonts w:hint="eastAsia" w:ascii="仿宋" w:hAnsi="仿宋" w:eastAsia="仿宋" w:cs="仿宋"/>
          <w:b/>
          <w:bCs/>
          <w:sz w:val="22"/>
          <w:szCs w:val="22"/>
          <w:lang w:val="en-US" w:eastAsia="zh-CN"/>
        </w:rPr>
      </w:pPr>
      <w:r>
        <w:rPr>
          <w:rFonts w:hint="eastAsia" w:ascii="仿宋" w:hAnsi="仿宋" w:eastAsia="仿宋" w:cs="仿宋"/>
          <w:b/>
          <w:bCs/>
          <w:sz w:val="22"/>
          <w:szCs w:val="22"/>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sz w:val="22"/>
          <w:szCs w:val="24"/>
        </w:rPr>
      </w:pPr>
      <w:r>
        <w:rPr>
          <w:rFonts w:hint="eastAsia" w:ascii="仿宋" w:hAnsi="仿宋" w:eastAsia="仿宋" w:cs="仿宋"/>
          <w:sz w:val="22"/>
          <w:szCs w:val="24"/>
          <w:lang w:eastAsia="zh-CN"/>
        </w:rPr>
        <w:t>①</w:t>
      </w:r>
      <w:r>
        <w:rPr>
          <w:rFonts w:hint="eastAsia" w:ascii="仿宋" w:hAnsi="仿宋" w:eastAsia="仿宋" w:cs="仿宋"/>
          <w:sz w:val="22"/>
          <w:szCs w:val="24"/>
        </w:rPr>
        <w:t>、</w:t>
      </w:r>
      <w:r>
        <w:rPr>
          <w:rFonts w:hint="eastAsia" w:ascii="仿宋" w:hAnsi="仿宋" w:eastAsia="仿宋" w:cs="仿宋"/>
          <w:sz w:val="22"/>
          <w:szCs w:val="22"/>
        </w:rPr>
        <w:t>投标函（见</w:t>
      </w:r>
      <w:r>
        <w:rPr>
          <w:rFonts w:hint="eastAsia" w:ascii="仿宋" w:hAnsi="仿宋" w:eastAsia="仿宋" w:cs="仿宋"/>
          <w:sz w:val="22"/>
          <w:szCs w:val="22"/>
          <w:lang w:eastAsia="zh-CN"/>
        </w:rPr>
        <w:t>附件</w:t>
      </w:r>
      <w:r>
        <w:rPr>
          <w:rFonts w:hint="eastAsia" w:ascii="仿宋" w:hAnsi="仿宋" w:eastAsia="仿宋" w:cs="仿宋"/>
          <w:sz w:val="22"/>
          <w:szCs w:val="22"/>
        </w:rPr>
        <w:t>1）</w:t>
      </w:r>
    </w:p>
    <w:p>
      <w:pPr>
        <w:numPr>
          <w:ilvl w:val="255"/>
          <w:numId w:val="0"/>
        </w:numPr>
        <w:spacing w:line="360" w:lineRule="auto"/>
        <w:rPr>
          <w:rFonts w:hint="eastAsia" w:ascii="仿宋" w:hAnsi="仿宋" w:eastAsia="仿宋" w:cs="仿宋"/>
          <w:sz w:val="22"/>
          <w:szCs w:val="22"/>
        </w:rPr>
      </w:pPr>
      <w:r>
        <w:rPr>
          <w:rFonts w:hint="eastAsia" w:ascii="仿宋" w:hAnsi="仿宋" w:eastAsia="仿宋" w:cs="仿宋"/>
          <w:sz w:val="22"/>
          <w:szCs w:val="22"/>
          <w:lang w:eastAsia="zh-CN"/>
        </w:rPr>
        <w:t>②</w:t>
      </w:r>
      <w:r>
        <w:rPr>
          <w:rFonts w:hint="eastAsia" w:ascii="仿宋" w:hAnsi="仿宋" w:eastAsia="仿宋" w:cs="仿宋"/>
          <w:sz w:val="22"/>
          <w:szCs w:val="22"/>
        </w:rPr>
        <w:t>、投标承诺函（见</w:t>
      </w:r>
      <w:r>
        <w:rPr>
          <w:rFonts w:hint="eastAsia" w:ascii="仿宋" w:hAnsi="仿宋" w:eastAsia="仿宋" w:cs="仿宋"/>
          <w:sz w:val="22"/>
          <w:szCs w:val="22"/>
          <w:lang w:eastAsia="zh-CN"/>
        </w:rPr>
        <w:t>附件</w:t>
      </w:r>
      <w:r>
        <w:rPr>
          <w:rFonts w:hint="eastAsia" w:ascii="仿宋" w:hAnsi="仿宋" w:eastAsia="仿宋" w:cs="仿宋"/>
          <w:sz w:val="22"/>
          <w:szCs w:val="22"/>
        </w:rPr>
        <w:t>2）</w:t>
      </w:r>
    </w:p>
    <w:p>
      <w:pPr>
        <w:numPr>
          <w:ilvl w:val="255"/>
          <w:numId w:val="0"/>
        </w:numPr>
        <w:spacing w:line="360" w:lineRule="auto"/>
        <w:rPr>
          <w:rFonts w:hint="eastAsia" w:ascii="仿宋" w:hAnsi="仿宋" w:eastAsia="仿宋" w:cs="仿宋"/>
          <w:sz w:val="22"/>
          <w:szCs w:val="22"/>
          <w:lang w:eastAsia="zh-CN"/>
        </w:rPr>
      </w:pPr>
      <w:r>
        <w:rPr>
          <w:rFonts w:hint="eastAsia" w:ascii="仿宋" w:hAnsi="仿宋" w:eastAsia="仿宋" w:cs="仿宋"/>
          <w:sz w:val="22"/>
          <w:szCs w:val="22"/>
          <w:lang w:eastAsia="zh-CN"/>
        </w:rPr>
        <w:t>③、廉洁经营特别约定条款（见附件</w:t>
      </w:r>
      <w:r>
        <w:rPr>
          <w:rFonts w:hint="eastAsia" w:ascii="仿宋" w:hAnsi="仿宋" w:eastAsia="仿宋" w:cs="仿宋"/>
          <w:sz w:val="22"/>
          <w:szCs w:val="22"/>
          <w:lang w:val="en-US" w:eastAsia="zh-CN"/>
        </w:rPr>
        <w:t>3</w:t>
      </w:r>
      <w:r>
        <w:rPr>
          <w:rFonts w:hint="eastAsia" w:ascii="仿宋" w:hAnsi="仿宋" w:eastAsia="仿宋" w:cs="仿宋"/>
          <w:sz w:val="22"/>
          <w:szCs w:val="22"/>
          <w:lang w:eastAsia="zh-CN"/>
        </w:rPr>
        <w:t>）</w:t>
      </w:r>
    </w:p>
    <w:p>
      <w:pPr>
        <w:numPr>
          <w:ilvl w:val="255"/>
          <w:numId w:val="0"/>
        </w:numPr>
        <w:spacing w:line="360" w:lineRule="auto"/>
        <w:rPr>
          <w:rFonts w:hint="eastAsia" w:ascii="仿宋" w:hAnsi="仿宋" w:eastAsia="仿宋" w:cs="仿宋"/>
          <w:sz w:val="22"/>
          <w:szCs w:val="22"/>
        </w:rPr>
      </w:pPr>
      <w:r>
        <w:rPr>
          <w:rFonts w:hint="eastAsia" w:ascii="仿宋" w:hAnsi="仿宋" w:eastAsia="仿宋" w:cs="仿宋"/>
          <w:sz w:val="22"/>
          <w:szCs w:val="22"/>
          <w:lang w:eastAsia="zh-CN"/>
        </w:rPr>
        <w:t>④</w:t>
      </w:r>
      <w:r>
        <w:rPr>
          <w:rFonts w:hint="eastAsia" w:ascii="仿宋" w:hAnsi="仿宋" w:eastAsia="仿宋" w:cs="仿宋"/>
          <w:sz w:val="22"/>
          <w:szCs w:val="22"/>
        </w:rPr>
        <w:t>、法定代表人授权委托书（见</w:t>
      </w:r>
      <w:r>
        <w:rPr>
          <w:rFonts w:hint="eastAsia" w:ascii="仿宋" w:hAnsi="仿宋" w:eastAsia="仿宋" w:cs="仿宋"/>
          <w:sz w:val="22"/>
          <w:szCs w:val="22"/>
          <w:lang w:eastAsia="zh-CN"/>
        </w:rPr>
        <w:t>附件</w:t>
      </w:r>
      <w:r>
        <w:rPr>
          <w:rFonts w:hint="eastAsia" w:ascii="仿宋" w:hAnsi="仿宋" w:eastAsia="仿宋" w:cs="仿宋"/>
          <w:sz w:val="22"/>
          <w:szCs w:val="22"/>
          <w:lang w:val="en-US" w:eastAsia="zh-CN"/>
        </w:rPr>
        <w:t>4</w:t>
      </w:r>
      <w:r>
        <w:rPr>
          <w:rFonts w:hint="eastAsia" w:ascii="仿宋" w:hAnsi="仿宋" w:eastAsia="仿宋" w:cs="仿宋"/>
          <w:sz w:val="22"/>
          <w:szCs w:val="22"/>
        </w:rPr>
        <w:t>）</w:t>
      </w:r>
    </w:p>
    <w:p>
      <w:pPr>
        <w:numPr>
          <w:ilvl w:val="255"/>
          <w:numId w:val="0"/>
        </w:numPr>
        <w:spacing w:line="360" w:lineRule="auto"/>
        <w:rPr>
          <w:rFonts w:hint="eastAsia" w:ascii="仿宋" w:hAnsi="仿宋" w:eastAsia="仿宋" w:cs="仿宋"/>
          <w:sz w:val="22"/>
          <w:szCs w:val="22"/>
        </w:rPr>
      </w:pPr>
      <w:r>
        <w:rPr>
          <w:rFonts w:hint="eastAsia" w:ascii="仿宋" w:hAnsi="仿宋" w:eastAsia="仿宋" w:cs="仿宋"/>
          <w:sz w:val="22"/>
          <w:szCs w:val="22"/>
          <w:lang w:eastAsia="zh-CN"/>
        </w:rPr>
        <w:t>⑤</w:t>
      </w:r>
      <w:r>
        <w:rPr>
          <w:rFonts w:hint="eastAsia" w:ascii="仿宋" w:hAnsi="仿宋" w:eastAsia="仿宋" w:cs="仿宋"/>
          <w:sz w:val="22"/>
          <w:szCs w:val="22"/>
        </w:rPr>
        <w:t>、法定代表人身份证明</w:t>
      </w:r>
    </w:p>
    <w:p>
      <w:pPr>
        <w:numPr>
          <w:ilvl w:val="255"/>
          <w:numId w:val="0"/>
        </w:numPr>
        <w:spacing w:line="360" w:lineRule="auto"/>
        <w:rPr>
          <w:rFonts w:hint="eastAsia" w:ascii="仿宋" w:hAnsi="仿宋" w:eastAsia="仿宋" w:cs="仿宋"/>
          <w:sz w:val="22"/>
          <w:szCs w:val="22"/>
        </w:rPr>
      </w:pPr>
      <w:r>
        <w:rPr>
          <w:rFonts w:hint="eastAsia" w:ascii="仿宋" w:hAnsi="仿宋" w:eastAsia="仿宋" w:cs="仿宋"/>
          <w:sz w:val="22"/>
          <w:szCs w:val="24"/>
          <w:lang w:eastAsia="zh-CN"/>
        </w:rPr>
        <w:t>⑥</w:t>
      </w:r>
      <w:r>
        <w:rPr>
          <w:rFonts w:hint="eastAsia" w:ascii="仿宋" w:hAnsi="仿宋" w:eastAsia="仿宋" w:cs="仿宋"/>
          <w:sz w:val="22"/>
          <w:szCs w:val="22"/>
        </w:rPr>
        <w:t>、企业</w:t>
      </w:r>
      <w:r>
        <w:rPr>
          <w:rFonts w:hint="eastAsia" w:ascii="仿宋" w:hAnsi="仿宋" w:eastAsia="仿宋" w:cs="仿宋"/>
          <w:b/>
          <w:bCs/>
          <w:sz w:val="22"/>
          <w:szCs w:val="22"/>
        </w:rPr>
        <w:t>营业执照复印</w:t>
      </w:r>
      <w:r>
        <w:rPr>
          <w:rFonts w:hint="eastAsia" w:ascii="仿宋" w:hAnsi="仿宋" w:eastAsia="仿宋" w:cs="仿宋"/>
          <w:sz w:val="22"/>
          <w:szCs w:val="22"/>
        </w:rPr>
        <w:t>件、</w:t>
      </w:r>
      <w:r>
        <w:rPr>
          <w:rFonts w:hint="eastAsia" w:ascii="仿宋" w:hAnsi="仿宋" w:eastAsia="仿宋" w:cs="仿宋"/>
          <w:b/>
          <w:bCs/>
          <w:sz w:val="22"/>
          <w:szCs w:val="22"/>
        </w:rPr>
        <w:t>资质证书</w:t>
      </w:r>
      <w:r>
        <w:rPr>
          <w:rFonts w:hint="eastAsia" w:ascii="仿宋" w:hAnsi="仿宋" w:eastAsia="仿宋" w:cs="仿宋"/>
          <w:b/>
          <w:bCs/>
          <w:sz w:val="22"/>
          <w:szCs w:val="22"/>
          <w:lang w:val="en-US" w:eastAsia="zh-CN"/>
        </w:rPr>
        <w:t>/代理证书</w:t>
      </w:r>
      <w:r>
        <w:rPr>
          <w:rFonts w:hint="eastAsia" w:ascii="仿宋" w:hAnsi="仿宋" w:eastAsia="仿宋" w:cs="仿宋"/>
          <w:sz w:val="22"/>
          <w:szCs w:val="22"/>
        </w:rPr>
        <w:t>、</w:t>
      </w:r>
      <w:r>
        <w:rPr>
          <w:rFonts w:hint="eastAsia" w:ascii="仿宋" w:hAnsi="仿宋" w:eastAsia="仿宋" w:cs="仿宋"/>
          <w:sz w:val="22"/>
          <w:szCs w:val="22"/>
          <w:lang w:val="en-US" w:eastAsia="zh-CN"/>
        </w:rPr>
        <w:t>质量管理体系认证证书</w:t>
      </w:r>
      <w:r>
        <w:rPr>
          <w:rFonts w:hint="eastAsia" w:ascii="仿宋" w:hAnsi="仿宋" w:eastAsia="仿宋" w:cs="仿宋"/>
          <w:sz w:val="22"/>
          <w:szCs w:val="22"/>
        </w:rPr>
        <w:t>等（加盖公章）</w:t>
      </w:r>
    </w:p>
    <w:p>
      <w:pPr>
        <w:numPr>
          <w:ilvl w:val="255"/>
          <w:numId w:val="0"/>
        </w:numPr>
        <w:spacing w:line="360" w:lineRule="auto"/>
        <w:rPr>
          <w:rFonts w:hint="eastAsia" w:ascii="仿宋" w:hAnsi="仿宋" w:eastAsia="仿宋" w:cs="仿宋"/>
          <w:sz w:val="22"/>
          <w:szCs w:val="24"/>
        </w:rPr>
      </w:pPr>
      <w:r>
        <w:rPr>
          <w:rFonts w:hint="eastAsia" w:ascii="仿宋" w:hAnsi="仿宋" w:eastAsia="仿宋" w:cs="仿宋"/>
          <w:sz w:val="22"/>
          <w:szCs w:val="24"/>
          <w:lang w:eastAsia="zh-CN"/>
        </w:rPr>
        <w:t>⑦</w:t>
      </w:r>
      <w:r>
        <w:rPr>
          <w:rFonts w:hint="eastAsia" w:ascii="仿宋" w:hAnsi="仿宋" w:eastAsia="仿宋" w:cs="仿宋"/>
          <w:sz w:val="22"/>
          <w:szCs w:val="24"/>
        </w:rPr>
        <w:t>、</w:t>
      </w:r>
      <w:r>
        <w:rPr>
          <w:rFonts w:hint="eastAsia" w:ascii="仿宋" w:hAnsi="仿宋" w:eastAsia="仿宋" w:cs="仿宋"/>
          <w:sz w:val="22"/>
          <w:szCs w:val="22"/>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 w:val="22"/>
          <w:szCs w:val="22"/>
        </w:rPr>
      </w:pPr>
      <w:r>
        <w:rPr>
          <w:rFonts w:hint="eastAsia" w:ascii="仿宋" w:hAnsi="仿宋" w:eastAsia="仿宋" w:cs="仿宋"/>
          <w:sz w:val="22"/>
          <w:szCs w:val="22"/>
          <w:lang w:eastAsia="zh-CN"/>
        </w:rPr>
        <w:t>①</w:t>
      </w:r>
      <w:r>
        <w:rPr>
          <w:rFonts w:hint="eastAsia" w:ascii="仿宋" w:hAnsi="仿宋" w:eastAsia="仿宋" w:cs="仿宋"/>
          <w:sz w:val="22"/>
          <w:szCs w:val="22"/>
        </w:rPr>
        <w:t>、投标人情况介绍（主要产品、技术</w:t>
      </w:r>
      <w:r>
        <w:rPr>
          <w:rFonts w:hint="eastAsia" w:ascii="仿宋" w:hAnsi="仿宋" w:eastAsia="仿宋" w:cs="仿宋"/>
          <w:sz w:val="22"/>
          <w:szCs w:val="22"/>
          <w:lang w:val="en-US" w:eastAsia="zh-CN"/>
        </w:rPr>
        <w:t>/团队</w:t>
      </w:r>
      <w:r>
        <w:rPr>
          <w:rFonts w:hint="eastAsia" w:ascii="仿宋" w:hAnsi="仿宋" w:eastAsia="仿宋" w:cs="仿宋"/>
          <w:sz w:val="22"/>
          <w:szCs w:val="22"/>
        </w:rPr>
        <w:t>力量、</w:t>
      </w:r>
      <w:r>
        <w:rPr>
          <w:rFonts w:hint="eastAsia" w:ascii="仿宋" w:hAnsi="仿宋" w:eastAsia="仿宋" w:cs="仿宋"/>
          <w:sz w:val="22"/>
          <w:szCs w:val="22"/>
          <w:lang w:eastAsia="zh-CN"/>
        </w:rPr>
        <w:t>企业</w:t>
      </w:r>
      <w:r>
        <w:rPr>
          <w:rFonts w:hint="eastAsia" w:ascii="仿宋" w:hAnsi="仿宋" w:eastAsia="仿宋" w:cs="仿宋"/>
          <w:sz w:val="22"/>
          <w:szCs w:val="22"/>
        </w:rPr>
        <w:t>规模、经营业绩）</w:t>
      </w:r>
    </w:p>
    <w:p>
      <w:pPr>
        <w:numPr>
          <w:ilvl w:val="255"/>
          <w:numId w:val="0"/>
        </w:numPr>
        <w:spacing w:line="360" w:lineRule="auto"/>
        <w:rPr>
          <w:rFonts w:hint="eastAsia" w:ascii="仿宋" w:hAnsi="仿宋" w:eastAsia="仿宋" w:cs="仿宋"/>
          <w:sz w:val="22"/>
          <w:szCs w:val="22"/>
        </w:rPr>
      </w:pPr>
      <w:r>
        <w:rPr>
          <w:rFonts w:hint="eastAsia" w:ascii="仿宋" w:hAnsi="仿宋" w:eastAsia="仿宋" w:cs="仿宋"/>
          <w:sz w:val="22"/>
          <w:szCs w:val="22"/>
          <w:lang w:eastAsia="zh-CN"/>
        </w:rPr>
        <w:t>②</w:t>
      </w:r>
      <w:r>
        <w:rPr>
          <w:rFonts w:hint="eastAsia" w:ascii="仿宋" w:hAnsi="仿宋" w:eastAsia="仿宋" w:cs="仿宋"/>
          <w:sz w:val="22"/>
          <w:szCs w:val="22"/>
        </w:rPr>
        <w:t>、投标人认为可以证明其能力或业绩的其他材料</w:t>
      </w:r>
    </w:p>
    <w:p>
      <w:pPr>
        <w:numPr>
          <w:ilvl w:val="255"/>
          <w:numId w:val="0"/>
        </w:numPr>
        <w:spacing w:line="360" w:lineRule="auto"/>
        <w:rPr>
          <w:rFonts w:hint="eastAsia" w:ascii="仿宋" w:hAnsi="仿宋" w:eastAsia="仿宋" w:cs="仿宋"/>
          <w:sz w:val="22"/>
          <w:szCs w:val="22"/>
        </w:rPr>
      </w:pPr>
      <w:r>
        <w:rPr>
          <w:rFonts w:hint="eastAsia" w:ascii="仿宋" w:hAnsi="仿宋" w:eastAsia="仿宋" w:cs="仿宋"/>
          <w:sz w:val="22"/>
          <w:szCs w:val="22"/>
          <w:lang w:eastAsia="zh-CN"/>
        </w:rPr>
        <w:t>③</w:t>
      </w:r>
      <w:r>
        <w:rPr>
          <w:rFonts w:hint="eastAsia" w:ascii="仿宋" w:hAnsi="仿宋" w:eastAsia="仿宋" w:cs="仿宋"/>
          <w:sz w:val="22"/>
          <w:szCs w:val="22"/>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widowControl w:val="0"/>
        <w:numPr>
          <w:ilvl w:val="0"/>
          <w:numId w:val="0"/>
        </w:numPr>
        <w:jc w:val="both"/>
        <w:rPr>
          <w:rFonts w:hint="eastAsia" w:ascii="仿宋" w:hAnsi="仿宋" w:eastAsia="仿宋" w:cs="仿宋"/>
          <w:sz w:val="22"/>
          <w:szCs w:val="22"/>
          <w:lang w:eastAsia="zh-CN"/>
        </w:rPr>
      </w:pPr>
      <w:r>
        <w:rPr>
          <w:rFonts w:hint="eastAsia" w:ascii="仿宋" w:hAnsi="仿宋" w:eastAsia="仿宋" w:cs="仿宋"/>
          <w:sz w:val="22"/>
          <w:szCs w:val="22"/>
          <w:lang w:eastAsia="zh-CN"/>
        </w:rPr>
        <w:t>①、投标报价清单</w:t>
      </w:r>
    </w:p>
    <w:p>
      <w:pPr>
        <w:rPr>
          <w:rFonts w:hint="eastAsia" w:ascii="仿宋" w:hAnsi="仿宋" w:eastAsia="仿宋" w:cs="仿宋"/>
          <w:szCs w:val="21"/>
          <w:lang w:eastAsia="zh-CN"/>
        </w:rPr>
      </w:pPr>
      <w:r>
        <w:rPr>
          <w:rFonts w:hint="eastAsia" w:ascii="仿宋" w:hAnsi="仿宋" w:eastAsia="仿宋" w:cs="仿宋"/>
          <w:szCs w:val="21"/>
          <w:lang w:eastAsia="zh-CN"/>
        </w:rPr>
        <w:br w:type="page"/>
      </w:r>
    </w:p>
    <w:p>
      <w:pPr>
        <w:pStyle w:val="20"/>
        <w:numPr>
          <w:ilvl w:val="0"/>
          <w:numId w:val="2"/>
        </w:numPr>
        <w:rPr>
          <w:rFonts w:hint="eastAsia" w:ascii="仿宋" w:hAnsi="仿宋" w:eastAsia="仿宋" w:cs="仿宋"/>
          <w:lang w:val="en-US" w:eastAsia="zh-CN"/>
        </w:rPr>
      </w:pPr>
      <w:bookmarkStart w:id="4" w:name="_Toc6169"/>
      <w:r>
        <w:rPr>
          <w:rFonts w:hint="eastAsia" w:ascii="仿宋" w:hAnsi="仿宋" w:eastAsia="仿宋" w:cs="仿宋"/>
          <w:lang w:val="en-US" w:eastAsia="zh-CN"/>
        </w:rPr>
        <w:t>、项目技术及验收要求</w:t>
      </w:r>
      <w:bookmarkEnd w:id="4"/>
    </w:p>
    <w:p>
      <w:pPr>
        <w:jc w:val="left"/>
        <w:rPr>
          <w:rFonts w:hint="eastAsia" w:ascii="仿宋" w:hAnsi="仿宋" w:eastAsia="仿宋" w:cs="仿宋"/>
          <w:sz w:val="24"/>
        </w:rPr>
      </w:pPr>
      <w:r>
        <w:rPr>
          <w:rFonts w:hint="eastAsia" w:ascii="仿宋" w:hAnsi="仿宋" w:eastAsia="仿宋" w:cs="仿宋"/>
          <w:sz w:val="24"/>
        </w:rPr>
        <w:t>（一）设备技术参数</w:t>
      </w:r>
    </w:p>
    <w:tbl>
      <w:tblPr>
        <w:tblStyle w:val="22"/>
        <w:tblW w:w="4998" w:type="pct"/>
        <w:tblInd w:w="0" w:type="dxa"/>
        <w:tblLayout w:type="fixed"/>
        <w:tblCellMar>
          <w:top w:w="0" w:type="dxa"/>
          <w:left w:w="108" w:type="dxa"/>
          <w:bottom w:w="0" w:type="dxa"/>
          <w:right w:w="108" w:type="dxa"/>
        </w:tblCellMar>
      </w:tblPr>
      <w:tblGrid>
        <w:gridCol w:w="1169"/>
        <w:gridCol w:w="5517"/>
        <w:gridCol w:w="1855"/>
        <w:gridCol w:w="743"/>
      </w:tblGrid>
      <w:tr>
        <w:tblPrEx>
          <w:tblCellMar>
            <w:top w:w="0" w:type="dxa"/>
            <w:left w:w="108" w:type="dxa"/>
            <w:bottom w:w="0" w:type="dxa"/>
            <w:right w:w="108" w:type="dxa"/>
          </w:tblCellMar>
        </w:tblPrEx>
        <w:trPr>
          <w:trHeight w:val="300" w:hRule="atLeast"/>
        </w:trPr>
        <w:tc>
          <w:tcPr>
            <w:tcW w:w="630" w:type="pct"/>
            <w:tcBorders>
              <w:top w:val="double" w:color="auto" w:sz="6" w:space="0"/>
              <w:left w:val="double" w:color="auto" w:sz="6" w:space="0"/>
              <w:bottom w:val="single" w:color="auto" w:sz="4" w:space="0"/>
              <w:right w:val="single" w:color="auto" w:sz="4" w:space="0"/>
            </w:tcBorders>
            <w:shd w:val="clear" w:color="auto" w:fill="FFFFFF"/>
            <w:noWrap/>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型号</w:t>
            </w:r>
          </w:p>
        </w:tc>
        <w:tc>
          <w:tcPr>
            <w:tcW w:w="2971" w:type="pct"/>
            <w:tcBorders>
              <w:top w:val="double" w:color="auto" w:sz="6" w:space="0"/>
              <w:left w:val="nil"/>
              <w:bottom w:val="single" w:color="auto" w:sz="4" w:space="0"/>
              <w:right w:val="single" w:color="auto" w:sz="4" w:space="0"/>
            </w:tcBorders>
            <w:shd w:val="clear" w:color="auto" w:fill="FFFFFF"/>
            <w:noWrap/>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描述</w:t>
            </w:r>
          </w:p>
        </w:tc>
        <w:tc>
          <w:tcPr>
            <w:tcW w:w="999" w:type="pct"/>
            <w:tcBorders>
              <w:top w:val="double" w:color="auto" w:sz="6" w:space="0"/>
              <w:left w:val="nil"/>
              <w:bottom w:val="single" w:color="auto" w:sz="4" w:space="0"/>
              <w:right w:val="single" w:color="auto" w:sz="4" w:space="0"/>
            </w:tcBorders>
            <w:shd w:val="clear" w:color="auto" w:fill="FFFFFF"/>
            <w:noWrap/>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数量</w:t>
            </w:r>
          </w:p>
        </w:tc>
        <w:tc>
          <w:tcPr>
            <w:tcW w:w="400" w:type="pct"/>
            <w:tcBorders>
              <w:top w:val="double" w:color="auto" w:sz="6" w:space="0"/>
              <w:left w:val="nil"/>
              <w:bottom w:val="single" w:color="auto" w:sz="4" w:space="0"/>
              <w:right w:val="double" w:color="auto" w:sz="6" w:space="0"/>
            </w:tcBorders>
            <w:shd w:val="clear" w:color="auto" w:fill="FFFFFF"/>
            <w:noWrap/>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备注</w:t>
            </w:r>
          </w:p>
        </w:tc>
      </w:tr>
      <w:tr>
        <w:tblPrEx>
          <w:tblCellMar>
            <w:top w:w="0" w:type="dxa"/>
            <w:left w:w="108" w:type="dxa"/>
            <w:bottom w:w="0" w:type="dxa"/>
            <w:right w:w="108" w:type="dxa"/>
          </w:tblCellMar>
        </w:tblPrEx>
        <w:trPr>
          <w:trHeight w:val="750" w:hRule="atLeast"/>
        </w:trPr>
        <w:tc>
          <w:tcPr>
            <w:tcW w:w="5000" w:type="pct"/>
            <w:gridSpan w:val="4"/>
            <w:tcBorders>
              <w:top w:val="single" w:color="auto" w:sz="4" w:space="0"/>
              <w:left w:val="double" w:color="auto" w:sz="6" w:space="0"/>
              <w:bottom w:val="single" w:color="auto" w:sz="4" w:space="0"/>
              <w:right w:val="double" w:color="000000" w:sz="6" w:space="0"/>
            </w:tcBorders>
            <w:shd w:val="clear" w:color="000000" w:fill="FFFFFF"/>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配置2台高性能服务器和1台光纤存储，新建虚拟化平台。并可以访问现有虚拟化资源池，增强现有虚拟化平台的稳定性、高可用性以及高性能，现有老旧的服务器和存储作为业务和数据的备份平台，充分利旧；</w:t>
            </w:r>
          </w:p>
        </w:tc>
      </w:tr>
      <w:tr>
        <w:tblPrEx>
          <w:tblCellMar>
            <w:top w:w="0" w:type="dxa"/>
            <w:left w:w="108" w:type="dxa"/>
            <w:bottom w:w="0" w:type="dxa"/>
            <w:right w:w="108" w:type="dxa"/>
          </w:tblCellMar>
        </w:tblPrEx>
        <w:trPr>
          <w:trHeight w:val="4669"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HP DL388 G10</w:t>
            </w:r>
          </w:p>
        </w:tc>
        <w:tc>
          <w:tcPr>
            <w:tcW w:w="2971"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2U机架式 配置2个英特尔®至强®处理器 Silver 4214 (12核2.2GHz,16.5MB共享三级缓存,85W) 可支持最大2个处理器; 配置256GB (8x32GB) RDIMM 2R 2666 MT/s内存, 最大支持24个DDR4内存插槽;标配1个HPE P408i-a智能HBA阵列控制器 2GB缓存,含智能存储电池,支持RAID 0/1/5/6/10/50/60/1 ADM/10 ADM; 主板集成 iLO Management Engine (iLO5)远程管理芯片; 3个 PCIe 插槽; 配置 600GB SAS 15K SFF SC DS HDD*3块; 标配4端口千兆嵌入式网络适配器;可选FlexibleLOM适配器； 配2个500W高效电源(94%转化率)冗余; 配置DVD光驱与托架，标配4个标准散热风扇;标配导轨; 2U高度; 原厂质保3年7*24；</w:t>
            </w:r>
          </w:p>
        </w:tc>
        <w:tc>
          <w:tcPr>
            <w:tcW w:w="999" w:type="pct"/>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color w:val="FF0000"/>
                <w:kern w:val="0"/>
                <w:sz w:val="24"/>
                <w:szCs w:val="24"/>
              </w:rPr>
            </w:pPr>
            <w:r>
              <w:rPr>
                <w:rFonts w:hint="eastAsia" w:ascii="仿宋" w:hAnsi="仿宋" w:eastAsia="仿宋" w:cs="仿宋"/>
                <w:color w:val="FF0000"/>
                <w:kern w:val="0"/>
                <w:sz w:val="24"/>
                <w:szCs w:val="24"/>
              </w:rPr>
              <w:t>　</w:t>
            </w:r>
          </w:p>
        </w:tc>
      </w:tr>
      <w:tr>
        <w:tblPrEx>
          <w:tblCellMar>
            <w:top w:w="0" w:type="dxa"/>
            <w:left w:w="108" w:type="dxa"/>
            <w:bottom w:w="0" w:type="dxa"/>
            <w:right w:w="108" w:type="dxa"/>
          </w:tblCellMar>
        </w:tblPrEx>
        <w:trPr>
          <w:trHeight w:val="3759"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HP MSA2050存储</w:t>
            </w:r>
          </w:p>
        </w:tc>
        <w:tc>
          <w:tcPr>
            <w:tcW w:w="2971" w:type="pc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HPE MSA2050双控制器存储系统：配置2个热插拔存储控制器，高速缓存配置为8GB/控制器，一共16GB缓存；每控制器4个主机接口，共8个主机接口，可同时支持FC 16Gb/8Gb &amp; iSCSI 10Gb/1Gb 接口SFP模块；24个2.5英寸小尺寸SFF硬盘槽位，最大支持7个硬盘扩展柜；配置12*600 15K SAS硬盘；最大支持512个LUN，配置LUN动态扩容许可。单个LUN最大支持128TB，支持SSD，SAS和SAS MDL磁盘，支持RAID 1, 5, 6, 10；；冗余电源风扇，存储管理软件（自动分层、远程复制、快照等），</w:t>
            </w:r>
            <w:r>
              <w:rPr>
                <w:rFonts w:hint="eastAsia" w:ascii="仿宋" w:hAnsi="仿宋" w:eastAsia="仿宋" w:cs="仿宋"/>
                <w:color w:val="000000"/>
                <w:kern w:val="0"/>
                <w:sz w:val="24"/>
                <w:szCs w:val="24"/>
              </w:rPr>
              <w:t>原厂质保3年7*24；</w:t>
            </w:r>
          </w:p>
        </w:tc>
        <w:tc>
          <w:tcPr>
            <w:tcW w:w="999"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color w:val="FF0000"/>
                <w:kern w:val="0"/>
                <w:sz w:val="24"/>
                <w:szCs w:val="24"/>
              </w:rPr>
            </w:pPr>
            <w:r>
              <w:rPr>
                <w:rFonts w:hint="eastAsia" w:ascii="仿宋" w:hAnsi="仿宋" w:eastAsia="仿宋" w:cs="仿宋"/>
                <w:color w:val="FF0000"/>
                <w:kern w:val="0"/>
                <w:sz w:val="24"/>
                <w:szCs w:val="24"/>
              </w:rPr>
              <w:t>　</w:t>
            </w:r>
          </w:p>
        </w:tc>
      </w:tr>
      <w:tr>
        <w:tblPrEx>
          <w:tblCellMar>
            <w:top w:w="0" w:type="dxa"/>
            <w:left w:w="108" w:type="dxa"/>
            <w:bottom w:w="0" w:type="dxa"/>
            <w:right w:w="108" w:type="dxa"/>
          </w:tblCellMar>
        </w:tblPrEx>
        <w:trPr>
          <w:trHeight w:val="870"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服务器版杀毒软件</w:t>
            </w:r>
          </w:p>
        </w:tc>
        <w:tc>
          <w:tcPr>
            <w:tcW w:w="2971" w:type="pc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3点Linux系统、1个点为Windows server系统，品牌供应商推荐</w:t>
            </w:r>
          </w:p>
        </w:tc>
        <w:tc>
          <w:tcPr>
            <w:tcW w:w="999"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color w:val="FF0000"/>
                <w:kern w:val="0"/>
                <w:sz w:val="24"/>
                <w:szCs w:val="24"/>
              </w:rPr>
            </w:pPr>
          </w:p>
        </w:tc>
      </w:tr>
      <w:tr>
        <w:tblPrEx>
          <w:tblCellMar>
            <w:top w:w="0" w:type="dxa"/>
            <w:left w:w="108" w:type="dxa"/>
            <w:bottom w:w="0" w:type="dxa"/>
            <w:right w:w="108" w:type="dxa"/>
          </w:tblCellMar>
        </w:tblPrEx>
        <w:trPr>
          <w:trHeight w:val="290"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HBA卡</w:t>
            </w:r>
          </w:p>
        </w:tc>
        <w:tc>
          <w:tcPr>
            <w:tcW w:w="2971" w:type="pc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 xml:space="preserve"> HPE StoreFabric SN1200E 16Gb Dual Port Fibre Channel Host Bus Adapter</w:t>
            </w:r>
          </w:p>
        </w:tc>
        <w:tc>
          <w:tcPr>
            <w:tcW w:w="999"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color w:val="FF0000"/>
                <w:kern w:val="0"/>
                <w:sz w:val="24"/>
                <w:szCs w:val="24"/>
              </w:rPr>
            </w:pPr>
            <w:r>
              <w:rPr>
                <w:rFonts w:hint="eastAsia" w:ascii="仿宋" w:hAnsi="仿宋" w:eastAsia="仿宋" w:cs="仿宋"/>
                <w:color w:val="FF0000"/>
                <w:kern w:val="0"/>
                <w:sz w:val="24"/>
                <w:szCs w:val="24"/>
              </w:rPr>
              <w:t>　</w:t>
            </w:r>
          </w:p>
        </w:tc>
      </w:tr>
      <w:tr>
        <w:tblPrEx>
          <w:tblCellMar>
            <w:top w:w="0" w:type="dxa"/>
            <w:left w:w="108" w:type="dxa"/>
            <w:bottom w:w="0" w:type="dxa"/>
            <w:right w:w="108" w:type="dxa"/>
          </w:tblCellMar>
        </w:tblPrEx>
        <w:trPr>
          <w:trHeight w:val="290"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光纤跳线</w:t>
            </w:r>
          </w:p>
        </w:tc>
        <w:tc>
          <w:tcPr>
            <w:tcW w:w="2971" w:type="pc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LC-LC光纤跳线OM4</w:t>
            </w:r>
          </w:p>
        </w:tc>
        <w:tc>
          <w:tcPr>
            <w:tcW w:w="999"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color w:val="FF0000"/>
                <w:kern w:val="0"/>
                <w:sz w:val="24"/>
                <w:szCs w:val="24"/>
              </w:rPr>
            </w:pPr>
            <w:r>
              <w:rPr>
                <w:rFonts w:hint="eastAsia" w:ascii="仿宋" w:hAnsi="仿宋" w:eastAsia="仿宋" w:cs="仿宋"/>
                <w:color w:val="FF0000"/>
                <w:kern w:val="0"/>
                <w:sz w:val="24"/>
                <w:szCs w:val="24"/>
              </w:rPr>
              <w:t>　</w:t>
            </w:r>
          </w:p>
        </w:tc>
      </w:tr>
      <w:tr>
        <w:tblPrEx>
          <w:tblCellMar>
            <w:top w:w="0" w:type="dxa"/>
            <w:left w:w="108" w:type="dxa"/>
            <w:bottom w:w="0" w:type="dxa"/>
            <w:right w:w="108" w:type="dxa"/>
          </w:tblCellMar>
        </w:tblPrEx>
        <w:trPr>
          <w:trHeight w:val="290"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服务器机柜</w:t>
            </w:r>
          </w:p>
        </w:tc>
        <w:tc>
          <w:tcPr>
            <w:tcW w:w="2971" w:type="pc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图腾42U 全钢服务器机柜，G36042</w:t>
            </w:r>
          </w:p>
        </w:tc>
        <w:tc>
          <w:tcPr>
            <w:tcW w:w="999"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color w:val="FF0000"/>
                <w:kern w:val="0"/>
                <w:sz w:val="24"/>
                <w:szCs w:val="24"/>
              </w:rPr>
            </w:pPr>
            <w:r>
              <w:rPr>
                <w:rFonts w:hint="eastAsia" w:ascii="仿宋" w:hAnsi="仿宋" w:eastAsia="仿宋" w:cs="仿宋"/>
                <w:color w:val="FF0000"/>
                <w:kern w:val="0"/>
                <w:sz w:val="24"/>
                <w:szCs w:val="24"/>
              </w:rPr>
              <w:t>　</w:t>
            </w:r>
          </w:p>
        </w:tc>
      </w:tr>
      <w:tr>
        <w:tblPrEx>
          <w:tblCellMar>
            <w:top w:w="0" w:type="dxa"/>
            <w:left w:w="108" w:type="dxa"/>
            <w:bottom w:w="0" w:type="dxa"/>
            <w:right w:w="108" w:type="dxa"/>
          </w:tblCellMar>
        </w:tblPrEx>
        <w:trPr>
          <w:trHeight w:val="290"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机柜PDU</w:t>
            </w:r>
          </w:p>
        </w:tc>
        <w:tc>
          <w:tcPr>
            <w:tcW w:w="2971" w:type="pc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8位10A PDU</w:t>
            </w:r>
          </w:p>
        </w:tc>
        <w:tc>
          <w:tcPr>
            <w:tcW w:w="999"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color w:val="FF0000"/>
                <w:kern w:val="0"/>
                <w:sz w:val="24"/>
                <w:szCs w:val="24"/>
              </w:rPr>
            </w:pPr>
            <w:r>
              <w:rPr>
                <w:rFonts w:hint="eastAsia" w:ascii="仿宋" w:hAnsi="仿宋" w:eastAsia="仿宋" w:cs="仿宋"/>
                <w:color w:val="FF0000"/>
                <w:kern w:val="0"/>
                <w:sz w:val="24"/>
                <w:szCs w:val="24"/>
              </w:rPr>
              <w:t>　</w:t>
            </w:r>
          </w:p>
        </w:tc>
      </w:tr>
      <w:tr>
        <w:tblPrEx>
          <w:tblCellMar>
            <w:top w:w="0" w:type="dxa"/>
            <w:left w:w="108" w:type="dxa"/>
            <w:bottom w:w="0" w:type="dxa"/>
            <w:right w:w="108" w:type="dxa"/>
          </w:tblCellMar>
        </w:tblPrEx>
        <w:trPr>
          <w:trHeight w:val="290" w:hRule="atLeast"/>
        </w:trPr>
        <w:tc>
          <w:tcPr>
            <w:tcW w:w="630" w:type="pct"/>
            <w:tcBorders>
              <w:top w:val="nil"/>
              <w:left w:val="double" w:color="auto" w:sz="6" w:space="0"/>
              <w:bottom w:val="nil"/>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交换机</w:t>
            </w:r>
          </w:p>
        </w:tc>
        <w:tc>
          <w:tcPr>
            <w:tcW w:w="2971" w:type="pct"/>
            <w:tcBorders>
              <w:top w:val="nil"/>
              <w:left w:val="single" w:color="auto" w:sz="4" w:space="0"/>
              <w:bottom w:val="nil"/>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b/>
                <w:color w:val="666666"/>
                <w:sz w:val="24"/>
                <w:szCs w:val="24"/>
                <w:shd w:val="clear" w:color="auto" w:fill="FFFFFF"/>
              </w:rPr>
              <w:t> S5720S-52P-SI-AC</w:t>
            </w:r>
          </w:p>
        </w:tc>
        <w:tc>
          <w:tcPr>
            <w:tcW w:w="999" w:type="pct"/>
            <w:tcBorders>
              <w:top w:val="nil"/>
              <w:left w:val="nil"/>
              <w:bottom w:val="nil"/>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400" w:type="pct"/>
            <w:tcBorders>
              <w:top w:val="nil"/>
              <w:left w:val="single" w:color="auto" w:sz="4" w:space="0"/>
              <w:bottom w:val="nil"/>
              <w:right w:val="double" w:color="auto" w:sz="6" w:space="0"/>
            </w:tcBorders>
            <w:shd w:val="clear" w:color="000000" w:fill="FFFFFF"/>
            <w:vAlign w:val="center"/>
          </w:tcPr>
          <w:p>
            <w:pPr>
              <w:widowControl/>
              <w:jc w:val="left"/>
              <w:rPr>
                <w:rFonts w:hint="eastAsia" w:ascii="仿宋" w:hAnsi="仿宋" w:eastAsia="仿宋" w:cs="仿宋"/>
                <w:kern w:val="0"/>
                <w:sz w:val="24"/>
                <w:szCs w:val="24"/>
              </w:rPr>
            </w:pPr>
          </w:p>
        </w:tc>
      </w:tr>
      <w:tr>
        <w:tblPrEx>
          <w:tblCellMar>
            <w:top w:w="0" w:type="dxa"/>
            <w:left w:w="108" w:type="dxa"/>
            <w:bottom w:w="0" w:type="dxa"/>
            <w:right w:w="108" w:type="dxa"/>
          </w:tblCellMar>
        </w:tblPrEx>
        <w:trPr>
          <w:trHeight w:val="2037" w:hRule="atLeast"/>
        </w:trPr>
        <w:tc>
          <w:tcPr>
            <w:tcW w:w="630" w:type="pct"/>
            <w:tcBorders>
              <w:top w:val="nil"/>
              <w:left w:val="double" w:color="auto" w:sz="6" w:space="0"/>
              <w:bottom w:val="nil"/>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技术服务（安装调试与迁移）</w:t>
            </w:r>
          </w:p>
        </w:tc>
        <w:tc>
          <w:tcPr>
            <w:tcW w:w="2971" w:type="pct"/>
            <w:tcBorders>
              <w:top w:val="nil"/>
              <w:left w:val="single" w:color="auto" w:sz="4" w:space="0"/>
              <w:bottom w:val="nil"/>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本次项目所含硬件设备安装上架、虚拟化平台重新配置管理（vmware vsphere 6.0以上版本）、存储配置管理、虚拟化平台使用的网络配置、EAS系统虚拟机群以及其他虚拟机的迁移、恢复、调优，以及首年服务等；并提供类似项目案例；</w:t>
            </w:r>
          </w:p>
          <w:p>
            <w:pPr>
              <w:widowControl/>
              <w:jc w:val="left"/>
              <w:rPr>
                <w:rFonts w:hint="default" w:ascii="仿宋" w:hAnsi="仿宋" w:eastAsia="仿宋" w:cs="仿宋"/>
                <w:kern w:val="0"/>
                <w:sz w:val="24"/>
                <w:szCs w:val="24"/>
                <w:lang w:val="en-US" w:eastAsia="zh-CN"/>
              </w:rPr>
            </w:pPr>
            <w:r>
              <w:rPr>
                <w:rFonts w:hint="eastAsia" w:ascii="仿宋" w:hAnsi="仿宋" w:eastAsia="仿宋" w:cs="仿宋"/>
                <w:kern w:val="0"/>
                <w:sz w:val="24"/>
                <w:szCs w:val="24"/>
                <w:lang w:eastAsia="zh-CN"/>
              </w:rPr>
              <w:t>需要迁移数据容量为：</w:t>
            </w:r>
            <w:r>
              <w:rPr>
                <w:rFonts w:hint="eastAsia" w:ascii="仿宋" w:hAnsi="仿宋" w:eastAsia="仿宋" w:cs="仿宋"/>
                <w:kern w:val="0"/>
                <w:sz w:val="24"/>
                <w:szCs w:val="24"/>
                <w:lang w:val="en-US" w:eastAsia="zh-CN"/>
              </w:rPr>
              <w:t>20tb</w:t>
            </w:r>
          </w:p>
        </w:tc>
        <w:tc>
          <w:tcPr>
            <w:tcW w:w="999" w:type="pct"/>
            <w:tcBorders>
              <w:top w:val="nil"/>
              <w:left w:val="nil"/>
              <w:bottom w:val="nil"/>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400" w:type="pct"/>
            <w:tcBorders>
              <w:top w:val="nil"/>
              <w:left w:val="single" w:color="auto" w:sz="4" w:space="0"/>
              <w:bottom w:val="nil"/>
              <w:right w:val="double" w:color="auto" w:sz="6" w:space="0"/>
            </w:tcBorders>
            <w:shd w:val="clear" w:color="000000" w:fill="FFFFFF"/>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　</w:t>
            </w:r>
          </w:p>
        </w:tc>
      </w:tr>
      <w:tr>
        <w:tblPrEx>
          <w:tblCellMar>
            <w:top w:w="0" w:type="dxa"/>
            <w:left w:w="108" w:type="dxa"/>
            <w:bottom w:w="0" w:type="dxa"/>
            <w:right w:w="108" w:type="dxa"/>
          </w:tblCellMar>
        </w:tblPrEx>
        <w:trPr>
          <w:trHeight w:val="290" w:hRule="atLeast"/>
        </w:trPr>
        <w:tc>
          <w:tcPr>
            <w:tcW w:w="630" w:type="pct"/>
            <w:tcBorders>
              <w:top w:val="nil"/>
              <w:left w:val="double" w:color="auto" w:sz="6"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kern w:val="0"/>
                <w:sz w:val="24"/>
                <w:szCs w:val="24"/>
              </w:rPr>
            </w:pPr>
          </w:p>
        </w:tc>
        <w:tc>
          <w:tcPr>
            <w:tcW w:w="2971" w:type="pct"/>
            <w:tcBorders>
              <w:top w:val="nil"/>
              <w:left w:val="single" w:color="auto" w:sz="4" w:space="0"/>
              <w:bottom w:val="single" w:color="auto" w:sz="4" w:space="0"/>
              <w:right w:val="single" w:color="auto" w:sz="4" w:space="0"/>
            </w:tcBorders>
            <w:shd w:val="clear" w:color="000000" w:fill="FFFFFF"/>
            <w:vAlign w:val="center"/>
          </w:tcPr>
          <w:p>
            <w:pPr>
              <w:widowControl/>
              <w:jc w:val="left"/>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2381250" cy="1666875"/>
                  <wp:effectExtent l="0" t="0" r="0"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5"/>
                          <a:stretch>
                            <a:fillRect/>
                          </a:stretch>
                        </pic:blipFill>
                        <pic:spPr>
                          <a:xfrm>
                            <a:off x="0" y="0"/>
                            <a:ext cx="2381250" cy="1666875"/>
                          </a:xfrm>
                          <a:prstGeom prst="rect">
                            <a:avLst/>
                          </a:prstGeom>
                          <a:noFill/>
                          <a:ln>
                            <a:noFill/>
                          </a:ln>
                        </pic:spPr>
                      </pic:pic>
                    </a:graphicData>
                  </a:graphic>
                </wp:inline>
              </w:drawing>
            </w:r>
            <w:r>
              <w:rPr>
                <w:rFonts w:hint="eastAsia" w:ascii="仿宋" w:hAnsi="仿宋" w:eastAsia="仿宋" w:cs="仿宋"/>
                <w:sz w:val="24"/>
                <w:szCs w:val="24"/>
              </w:rPr>
              <w:drawing>
                <wp:inline distT="0" distB="0" distL="114300" distR="114300">
                  <wp:extent cx="1600200" cy="3524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1600200" cy="352425"/>
                          </a:xfrm>
                          <a:prstGeom prst="rect">
                            <a:avLst/>
                          </a:prstGeom>
                          <a:noFill/>
                          <a:ln>
                            <a:noFill/>
                          </a:ln>
                        </pic:spPr>
                      </pic:pic>
                    </a:graphicData>
                  </a:graphic>
                </wp:inline>
              </w:drawing>
            </w:r>
          </w:p>
          <w:p>
            <w:pPr>
              <w:widowControl/>
              <w:jc w:val="left"/>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1628775" cy="358140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1628775" cy="3581400"/>
                          </a:xfrm>
                          <a:prstGeom prst="rect">
                            <a:avLst/>
                          </a:prstGeom>
                          <a:noFill/>
                          <a:ln>
                            <a:noFill/>
                          </a:ln>
                        </pic:spPr>
                      </pic:pic>
                    </a:graphicData>
                  </a:graphic>
                </wp:inline>
              </w:drawing>
            </w:r>
          </w:p>
        </w:tc>
        <w:tc>
          <w:tcPr>
            <w:tcW w:w="999" w:type="pct"/>
            <w:tcBorders>
              <w:top w:val="nil"/>
              <w:left w:val="nil"/>
              <w:bottom w:val="single" w:color="auto" w:sz="4" w:space="0"/>
              <w:right w:val="single" w:color="auto" w:sz="4" w:space="0"/>
            </w:tcBorders>
            <w:shd w:val="clear" w:color="000000" w:fill="FFFFFF"/>
            <w:noWrap/>
            <w:vAlign w:val="center"/>
          </w:tcPr>
          <w:p>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需要迁移的虚拟机目录</w:t>
            </w:r>
          </w:p>
        </w:tc>
        <w:tc>
          <w:tcPr>
            <w:tcW w:w="400" w:type="pct"/>
            <w:tcBorders>
              <w:top w:val="nil"/>
              <w:left w:val="single" w:color="auto" w:sz="4" w:space="0"/>
              <w:bottom w:val="single" w:color="auto" w:sz="4" w:space="0"/>
              <w:right w:val="double" w:color="auto" w:sz="6" w:space="0"/>
            </w:tcBorders>
            <w:shd w:val="clear" w:color="000000" w:fill="FFFFFF"/>
            <w:vAlign w:val="center"/>
          </w:tcPr>
          <w:p>
            <w:pPr>
              <w:widowControl/>
              <w:jc w:val="left"/>
              <w:rPr>
                <w:rFonts w:hint="eastAsia" w:ascii="仿宋" w:hAnsi="仿宋" w:eastAsia="仿宋" w:cs="仿宋"/>
                <w:kern w:val="0"/>
                <w:sz w:val="24"/>
                <w:szCs w:val="24"/>
              </w:rPr>
            </w:pPr>
          </w:p>
        </w:tc>
      </w:tr>
    </w:tbl>
    <w:p>
      <w:pPr>
        <w:jc w:val="left"/>
        <w:rPr>
          <w:rFonts w:hint="eastAsia" w:ascii="仿宋" w:hAnsi="仿宋" w:eastAsia="仿宋" w:cs="仿宋"/>
          <w:sz w:val="24"/>
          <w:szCs w:val="24"/>
        </w:rPr>
      </w:pPr>
    </w:p>
    <w:p>
      <w:pPr>
        <w:rPr>
          <w:rFonts w:hint="eastAsia" w:ascii="仿宋" w:hAnsi="仿宋" w:eastAsia="仿宋" w:cs="仿宋"/>
          <w:sz w:val="24"/>
          <w:szCs w:val="24"/>
        </w:rPr>
      </w:pPr>
      <w:r>
        <w:rPr>
          <w:rFonts w:hint="eastAsia" w:ascii="仿宋" w:hAnsi="仿宋" w:eastAsia="仿宋" w:cs="仿宋"/>
          <w:sz w:val="24"/>
          <w:szCs w:val="24"/>
        </w:rPr>
        <w:t>二、交货地点和期限、验收</w:t>
      </w:r>
    </w:p>
    <w:p>
      <w:pPr>
        <w:ind w:firstLine="440"/>
        <w:rPr>
          <w:rFonts w:hint="eastAsia" w:ascii="仿宋" w:hAnsi="仿宋" w:eastAsia="仿宋" w:cs="仿宋"/>
          <w:sz w:val="24"/>
          <w:szCs w:val="24"/>
        </w:rPr>
      </w:pPr>
      <w:r>
        <w:rPr>
          <w:rFonts w:hint="eastAsia" w:ascii="仿宋" w:hAnsi="仿宋" w:eastAsia="仿宋" w:cs="仿宋"/>
          <w:sz w:val="24"/>
          <w:szCs w:val="24"/>
        </w:rPr>
        <w:t>由供货方（承担运费）配送至需方指定地点，待清单货物数量清点后签署收货单。</w:t>
      </w:r>
    </w:p>
    <w:p>
      <w:pPr>
        <w:ind w:firstLine="440"/>
        <w:rPr>
          <w:rFonts w:hint="eastAsia" w:ascii="仿宋" w:hAnsi="仿宋" w:eastAsia="仿宋" w:cs="仿宋"/>
          <w:sz w:val="24"/>
          <w:szCs w:val="24"/>
        </w:rPr>
      </w:pPr>
      <w:r>
        <w:rPr>
          <w:rFonts w:hint="eastAsia" w:ascii="仿宋" w:hAnsi="仿宋" w:eastAsia="仿宋" w:cs="仿宋"/>
          <w:sz w:val="24"/>
          <w:szCs w:val="24"/>
        </w:rPr>
        <w:t xml:space="preserve">甲方自收货后一个月内安排并完成设备的上架、技术调试、相关系统的安装、上线工作。 </w:t>
      </w:r>
    </w:p>
    <w:p>
      <w:pPr>
        <w:ind w:firstLine="440"/>
        <w:rPr>
          <w:rFonts w:hint="eastAsia" w:ascii="仿宋" w:hAnsi="仿宋" w:eastAsia="仿宋" w:cs="仿宋"/>
          <w:sz w:val="24"/>
          <w:szCs w:val="24"/>
        </w:rPr>
      </w:pPr>
      <w:r>
        <w:rPr>
          <w:rFonts w:hint="eastAsia" w:ascii="仿宋" w:hAnsi="仿宋" w:eastAsia="仿宋" w:cs="仿宋"/>
          <w:sz w:val="24"/>
          <w:szCs w:val="24"/>
        </w:rPr>
        <w:t>待一个月试运行期满后，组织设备验收工作。 如试运行时间出现设备或者系统问题，乙方应重新应负责解决，相关验收时间自动延后一个月。</w:t>
      </w:r>
    </w:p>
    <w:p>
      <w:pPr>
        <w:ind w:firstLine="440"/>
        <w:rPr>
          <w:rFonts w:hint="eastAsia" w:ascii="仿宋" w:hAnsi="仿宋" w:eastAsia="仿宋" w:cs="仿宋"/>
          <w:sz w:val="24"/>
          <w:szCs w:val="24"/>
        </w:rPr>
      </w:pPr>
      <w:r>
        <w:rPr>
          <w:rFonts w:hint="eastAsia" w:ascii="仿宋" w:hAnsi="仿宋" w:eastAsia="仿宋" w:cs="仿宋"/>
          <w:sz w:val="24"/>
          <w:szCs w:val="24"/>
          <w:lang w:eastAsia="zh-CN"/>
        </w:rPr>
        <w:t>三</w:t>
      </w:r>
      <w:r>
        <w:rPr>
          <w:rFonts w:hint="eastAsia" w:ascii="仿宋" w:hAnsi="仿宋" w:eastAsia="仿宋" w:cs="仿宋"/>
          <w:sz w:val="24"/>
          <w:szCs w:val="24"/>
        </w:rPr>
        <w:t>、服务要求</w:t>
      </w:r>
    </w:p>
    <w:p>
      <w:pPr>
        <w:ind w:firstLine="440"/>
        <w:rPr>
          <w:rFonts w:hint="eastAsia" w:ascii="仿宋" w:hAnsi="仿宋" w:eastAsia="仿宋" w:cs="仿宋"/>
          <w:sz w:val="24"/>
          <w:szCs w:val="24"/>
        </w:rPr>
      </w:pPr>
      <w:r>
        <w:rPr>
          <w:rFonts w:hint="eastAsia" w:ascii="仿宋" w:hAnsi="仿宋" w:eastAsia="仿宋" w:cs="仿宋"/>
          <w:sz w:val="24"/>
          <w:szCs w:val="24"/>
        </w:rPr>
        <w:t>1、中标供应商自设备验收合格之日开始提供原厂免费维护服务年限</w:t>
      </w:r>
    </w:p>
    <w:p>
      <w:pPr>
        <w:ind w:firstLine="440"/>
        <w:rPr>
          <w:rFonts w:hint="eastAsia" w:ascii="仿宋" w:hAnsi="仿宋" w:eastAsia="仿宋" w:cs="仿宋"/>
          <w:sz w:val="24"/>
          <w:szCs w:val="24"/>
        </w:rPr>
      </w:pPr>
      <w:r>
        <w:rPr>
          <w:rFonts w:hint="eastAsia" w:ascii="仿宋" w:hAnsi="仿宋" w:eastAsia="仿宋" w:cs="仿宋"/>
          <w:sz w:val="24"/>
          <w:szCs w:val="24"/>
        </w:rPr>
        <w:t>2、服务期内免费提供： 7*24小时电话服务  现场服务：2小时响应到现场</w:t>
      </w:r>
    </w:p>
    <w:p>
      <w:pPr>
        <w:ind w:firstLine="440"/>
        <w:rPr>
          <w:rFonts w:hint="eastAsia" w:ascii="仿宋" w:hAnsi="仿宋" w:eastAsia="仿宋" w:cs="仿宋"/>
          <w:sz w:val="24"/>
          <w:szCs w:val="24"/>
        </w:rPr>
      </w:pPr>
      <w:r>
        <w:rPr>
          <w:rFonts w:hint="eastAsia" w:ascii="仿宋" w:hAnsi="仿宋" w:eastAsia="仿宋" w:cs="仿宋"/>
          <w:sz w:val="24"/>
          <w:szCs w:val="24"/>
        </w:rPr>
        <w:t>3、原厂商免费提供的其他服务。</w:t>
      </w:r>
    </w:p>
    <w:p>
      <w:pPr>
        <w:rPr>
          <w:rFonts w:hint="eastAsia"/>
          <w:lang w:val="en-US" w:eastAsia="zh-CN"/>
        </w:rPr>
      </w:pPr>
    </w:p>
    <w:p>
      <w:pPr>
        <w:pStyle w:val="20"/>
        <w:numPr>
          <w:ilvl w:val="0"/>
          <w:numId w:val="2"/>
        </w:numPr>
        <w:rPr>
          <w:rFonts w:hint="eastAsia" w:ascii="仿宋" w:hAnsi="仿宋" w:eastAsia="仿宋" w:cs="仿宋"/>
          <w:lang w:val="en-US" w:eastAsia="zh-CN"/>
        </w:rPr>
      </w:pPr>
      <w:bookmarkStart w:id="5" w:name="_Toc31379"/>
      <w:r>
        <w:rPr>
          <w:rFonts w:hint="eastAsia" w:ascii="仿宋" w:hAnsi="仿宋" w:eastAsia="仿宋" w:cs="仿宋"/>
          <w:lang w:val="en-US" w:eastAsia="zh-CN"/>
        </w:rPr>
        <w:t>、评分标准</w:t>
      </w:r>
      <w:bookmarkEnd w:id="5"/>
    </w:p>
    <w:p>
      <w:pPr>
        <w:spacing w:line="360" w:lineRule="exact"/>
        <w:ind w:firstLine="480" w:firstLineChars="200"/>
        <w:rPr>
          <w:rFonts w:hint="eastAsia" w:ascii="仿宋" w:hAnsi="仿宋" w:eastAsia="仿宋" w:cs="仿宋"/>
          <w:sz w:val="24"/>
          <w:szCs w:val="24"/>
        </w:rPr>
      </w:pPr>
    </w:p>
    <w:p>
      <w:pPr>
        <w:tabs>
          <w:tab w:val="left" w:pos="525"/>
          <w:tab w:val="left" w:pos="945"/>
        </w:tabs>
        <w:spacing w:line="360" w:lineRule="auto"/>
        <w:ind w:firstLine="480" w:firstLineChars="200"/>
        <w:rPr>
          <w:rFonts w:hint="eastAsia" w:ascii="仿宋" w:hAnsi="仿宋" w:eastAsia="仿宋" w:cs="仿宋"/>
          <w:bCs/>
          <w:color w:val="000000"/>
          <w:sz w:val="24"/>
          <w:szCs w:val="24"/>
        </w:rPr>
      </w:pPr>
      <w:r>
        <w:rPr>
          <w:rFonts w:hint="eastAsia" w:ascii="仿宋" w:hAnsi="仿宋" w:eastAsia="仿宋" w:cs="仿宋"/>
          <w:bCs/>
          <w:color w:val="000000"/>
          <w:sz w:val="24"/>
          <w:szCs w:val="24"/>
          <w:lang w:val="en-US" w:eastAsia="zh-CN"/>
        </w:rPr>
        <w:t>一、</w:t>
      </w:r>
      <w:r>
        <w:rPr>
          <w:rFonts w:hint="eastAsia" w:ascii="仿宋" w:hAnsi="仿宋" w:eastAsia="仿宋" w:cs="仿宋"/>
          <w:bCs/>
          <w:color w:val="000000"/>
          <w:sz w:val="24"/>
          <w:szCs w:val="24"/>
        </w:rPr>
        <w:t>投标报价（70分）</w:t>
      </w:r>
    </w:p>
    <w:p>
      <w:pPr>
        <w:tabs>
          <w:tab w:val="left" w:pos="525"/>
          <w:tab w:val="left" w:pos="945"/>
        </w:tabs>
        <w:spacing w:line="360" w:lineRule="auto"/>
        <w:ind w:firstLine="480" w:firstLineChars="200"/>
        <w:rPr>
          <w:rFonts w:hint="eastAsia" w:ascii="仿宋" w:hAnsi="仿宋" w:eastAsia="仿宋" w:cs="仿宋"/>
          <w:color w:val="000000"/>
          <w:sz w:val="24"/>
          <w:szCs w:val="24"/>
          <w:shd w:val="clear" w:color="auto" w:fill="FFFFFF"/>
        </w:rPr>
      </w:pPr>
      <w:r>
        <w:rPr>
          <w:rFonts w:hint="eastAsia" w:ascii="仿宋" w:hAnsi="仿宋" w:eastAsia="仿宋" w:cs="仿宋"/>
          <w:color w:val="000000"/>
          <w:sz w:val="24"/>
          <w:szCs w:val="24"/>
          <w:shd w:val="clear" w:color="auto" w:fill="FFFFFF"/>
        </w:rPr>
        <w:t>以有效投标文件投标价中的平均价为基准价；</w:t>
      </w:r>
    </w:p>
    <w:p>
      <w:pPr>
        <w:tabs>
          <w:tab w:val="left" w:pos="525"/>
          <w:tab w:val="left" w:pos="945"/>
        </w:tabs>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bCs/>
          <w:color w:val="000000"/>
          <w:sz w:val="24"/>
          <w:szCs w:val="24"/>
          <w:lang w:eastAsia="zh-CN"/>
        </w:rPr>
        <w:t>二、</w:t>
      </w:r>
      <w:r>
        <w:rPr>
          <w:rFonts w:hint="eastAsia" w:ascii="仿宋" w:hAnsi="仿宋" w:eastAsia="仿宋" w:cs="仿宋"/>
          <w:bCs/>
          <w:color w:val="000000"/>
          <w:sz w:val="24"/>
          <w:szCs w:val="24"/>
        </w:rPr>
        <w:t xml:space="preserve"> 售后服务</w:t>
      </w:r>
      <w:r>
        <w:rPr>
          <w:rFonts w:hint="eastAsia" w:ascii="仿宋" w:hAnsi="仿宋" w:eastAsia="仿宋" w:cs="仿宋"/>
          <w:color w:val="000000"/>
          <w:sz w:val="24"/>
          <w:szCs w:val="24"/>
        </w:rPr>
        <w:t>（15分）</w:t>
      </w:r>
    </w:p>
    <w:p>
      <w:pPr>
        <w:pStyle w:val="38"/>
        <w:spacing w:line="360" w:lineRule="auto"/>
        <w:ind w:left="560" w:firstLine="0"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提供详细项目交付和迁移方案，首年服务期内提供7x24小时免费电话支持，并30</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分钟内响应，重大问题2小时内到现场，任意一项不满足不得分等；</w:t>
      </w:r>
    </w:p>
    <w:p>
      <w:pPr>
        <w:tabs>
          <w:tab w:val="left" w:pos="525"/>
          <w:tab w:val="left" w:pos="945"/>
        </w:tabs>
        <w:spacing w:line="360" w:lineRule="auto"/>
        <w:ind w:firstLine="480" w:firstLineChars="200"/>
        <w:rPr>
          <w:rFonts w:hint="eastAsia" w:ascii="仿宋" w:hAnsi="仿宋" w:eastAsia="仿宋" w:cs="仿宋"/>
          <w:bCs/>
          <w:color w:val="000000"/>
          <w:sz w:val="24"/>
          <w:szCs w:val="24"/>
        </w:rPr>
      </w:pPr>
      <w:r>
        <w:rPr>
          <w:rFonts w:hint="eastAsia" w:ascii="仿宋" w:hAnsi="仿宋" w:eastAsia="仿宋" w:cs="仿宋"/>
          <w:color w:val="000000"/>
          <w:sz w:val="24"/>
          <w:szCs w:val="24"/>
          <w:shd w:val="clear" w:color="auto" w:fill="FFFFFF"/>
          <w:lang w:eastAsia="zh-CN"/>
        </w:rPr>
        <w:t>三、</w:t>
      </w:r>
      <w:r>
        <w:rPr>
          <w:rFonts w:hint="eastAsia" w:ascii="仿宋" w:hAnsi="仿宋" w:eastAsia="仿宋" w:cs="仿宋"/>
          <w:bCs/>
          <w:color w:val="000000"/>
          <w:sz w:val="24"/>
          <w:szCs w:val="24"/>
        </w:rPr>
        <w:t xml:space="preserve"> 供应商综合评价（15分）</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公司注册资金高于500万元（含）人民币（1分），高于1000万元（含）人民币（2分），工程师具备Orcale OCP证书3年以上得1分，工程师具备CCIE证书得1分；其他得分详见得分表；</w:t>
      </w:r>
    </w:p>
    <w:p>
      <w:pPr>
        <w:rPr>
          <w:rFonts w:hint="eastAsia" w:ascii="仿宋" w:hAnsi="仿宋" w:eastAsia="仿宋" w:cs="仿宋"/>
        </w:rPr>
      </w:pPr>
    </w:p>
    <w:tbl>
      <w:tblPr>
        <w:tblStyle w:val="22"/>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序号</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项 目</w:t>
            </w:r>
          </w:p>
        </w:tc>
        <w:tc>
          <w:tcPr>
            <w:tcW w:w="652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评 分 细 则</w:t>
            </w:r>
          </w:p>
        </w:tc>
        <w:tc>
          <w:tcPr>
            <w:tcW w:w="85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1134"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报价分</w:t>
            </w:r>
          </w:p>
        </w:tc>
        <w:tc>
          <w:tcPr>
            <w:tcW w:w="6521" w:type="dxa"/>
            <w:tcBorders>
              <w:top w:val="nil"/>
              <w:left w:val="nil"/>
              <w:bottom w:val="nil"/>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价格得分计算方法：根据各投标人通过符合性审查的所有有效投标报价中的平均价作为评标基准价。</w:t>
            </w:r>
          </w:p>
        </w:tc>
        <w:tc>
          <w:tcPr>
            <w:tcW w:w="85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70</w:t>
            </w:r>
          </w:p>
        </w:tc>
      </w:tr>
      <w:tr>
        <w:tblPrEx>
          <w:tblCellMar>
            <w:top w:w="0" w:type="dxa"/>
            <w:left w:w="108" w:type="dxa"/>
            <w:bottom w:w="0" w:type="dxa"/>
            <w:right w:w="108" w:type="dxa"/>
          </w:tblCellMar>
        </w:tblPrEx>
        <w:trPr>
          <w:trHeight w:val="382" w:hRule="atLeast"/>
        </w:trPr>
        <w:tc>
          <w:tcPr>
            <w:tcW w:w="709" w:type="dxa"/>
            <w:vMerge w:val="continue"/>
            <w:tcBorders>
              <w:top w:val="nil"/>
              <w:left w:val="single" w:color="auto" w:sz="8" w:space="0"/>
              <w:bottom w:val="single" w:color="000000" w:sz="8"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1134" w:type="dxa"/>
            <w:vMerge w:val="continue"/>
            <w:tcBorders>
              <w:top w:val="nil"/>
              <w:left w:val="single" w:color="auto" w:sz="8" w:space="0"/>
              <w:bottom w:val="single" w:color="000000" w:sz="8"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nil"/>
              <w:left w:val="nil"/>
              <w:bottom w:val="single" w:color="auto" w:sz="8" w:space="0"/>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价格得分=（评标基准价/投标报价）×70；（计算到小数点后二位）</w:t>
            </w:r>
          </w:p>
        </w:tc>
        <w:tc>
          <w:tcPr>
            <w:tcW w:w="850" w:type="dxa"/>
            <w:vMerge w:val="continue"/>
            <w:tcBorders>
              <w:top w:val="nil"/>
              <w:left w:val="single" w:color="auto" w:sz="8" w:space="0"/>
              <w:bottom w:val="single" w:color="000000" w:sz="8" w:space="0"/>
              <w:right w:val="single" w:color="auto" w:sz="8"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1114" w:hRule="atLeast"/>
        </w:trPr>
        <w:tc>
          <w:tcPr>
            <w:tcW w:w="709"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售后服务</w:t>
            </w:r>
          </w:p>
        </w:tc>
        <w:tc>
          <w:tcPr>
            <w:tcW w:w="6521" w:type="dxa"/>
            <w:tcBorders>
              <w:top w:val="nil"/>
              <w:left w:val="nil"/>
              <w:bottom w:val="single" w:color="auto" w:sz="8" w:space="0"/>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根据投标人提供项目实施迁移和售后服务方案（应包括服务维护体系、日常检测保养、响应时间、故障处理、应急维修承诺）综合评审, 优秀得12-15分，良好得8-11分，一般得8分及以下。未提供详细的售后服务方案不得分。</w:t>
            </w:r>
          </w:p>
        </w:tc>
        <w:tc>
          <w:tcPr>
            <w:tcW w:w="850"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15</w:t>
            </w:r>
          </w:p>
        </w:tc>
      </w:tr>
      <w:tr>
        <w:tblPrEx>
          <w:tblCellMar>
            <w:top w:w="0" w:type="dxa"/>
            <w:left w:w="108" w:type="dxa"/>
            <w:bottom w:w="0" w:type="dxa"/>
            <w:right w:w="108" w:type="dxa"/>
          </w:tblCellMar>
        </w:tblPrEx>
        <w:trPr>
          <w:trHeight w:val="921" w:hRule="atLeast"/>
        </w:trPr>
        <w:tc>
          <w:tcPr>
            <w:tcW w:w="709"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1134"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供应商综合评价</w:t>
            </w:r>
          </w:p>
        </w:tc>
        <w:tc>
          <w:tcPr>
            <w:tcW w:w="6521" w:type="dxa"/>
            <w:tcBorders>
              <w:top w:val="nil"/>
              <w:left w:val="nil"/>
              <w:bottom w:val="single" w:color="auto" w:sz="8" w:space="0"/>
              <w:right w:val="single" w:color="auto" w:sz="8" w:space="0"/>
            </w:tcBorders>
            <w:shd w:val="clear" w:color="auto" w:fill="auto"/>
            <w:vAlign w:val="center"/>
          </w:tcPr>
          <w:p>
            <w:pPr>
              <w:widowControl/>
              <w:rPr>
                <w:rFonts w:hint="eastAsia" w:ascii="仿宋" w:hAnsi="仿宋" w:eastAsia="仿宋" w:cs="仿宋"/>
                <w:color w:val="FF0000"/>
                <w:kern w:val="0"/>
                <w:sz w:val="24"/>
                <w:szCs w:val="24"/>
              </w:rPr>
            </w:pPr>
            <w:r>
              <w:rPr>
                <w:rFonts w:hint="eastAsia" w:ascii="仿宋" w:hAnsi="仿宋" w:eastAsia="仿宋" w:cs="仿宋"/>
                <w:color w:val="000000" w:themeColor="text1"/>
                <w:kern w:val="0"/>
                <w:sz w:val="24"/>
                <w:szCs w:val="24"/>
                <w14:textFill>
                  <w14:solidFill>
                    <w14:schemeClr w14:val="tx1"/>
                  </w14:solidFill>
                </w14:textFill>
              </w:rPr>
              <w:t>评委根据供应商针对本项目的专业程度及安装、调试及技术维护力量酌情打分，具备Oracle OCP证书3年以上每个得1分，最高得2分，工程师具备CCIE证书得1分，其他得1分；</w:t>
            </w:r>
          </w:p>
        </w:tc>
        <w:tc>
          <w:tcPr>
            <w:tcW w:w="850"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w:t>
            </w:r>
          </w:p>
        </w:tc>
      </w:tr>
      <w:tr>
        <w:tblPrEx>
          <w:tblCellMar>
            <w:top w:w="0" w:type="dxa"/>
            <w:left w:w="108" w:type="dxa"/>
            <w:bottom w:w="0" w:type="dxa"/>
            <w:right w:w="108" w:type="dxa"/>
          </w:tblCellMar>
        </w:tblPrEx>
        <w:trPr>
          <w:trHeight w:val="660" w:hRule="atLeast"/>
        </w:trPr>
        <w:tc>
          <w:tcPr>
            <w:tcW w:w="709" w:type="dxa"/>
            <w:vMerge w:val="continue"/>
            <w:tcBorders>
              <w:top w:val="nil"/>
              <w:left w:val="single" w:color="auto" w:sz="8" w:space="0"/>
              <w:bottom w:val="single" w:color="000000" w:sz="8"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1134" w:type="dxa"/>
            <w:vMerge w:val="continue"/>
            <w:tcBorders>
              <w:top w:val="nil"/>
              <w:left w:val="single" w:color="auto" w:sz="8" w:space="0"/>
              <w:bottom w:val="single" w:color="000000" w:sz="8"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nil"/>
              <w:left w:val="nil"/>
              <w:bottom w:val="single" w:color="auto" w:sz="8" w:space="0"/>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根据投标单位的公司信誉、经营状况、银行资信、公司规模等情况综合评审，最高得5分。</w:t>
            </w:r>
          </w:p>
        </w:tc>
        <w:tc>
          <w:tcPr>
            <w:tcW w:w="850"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5</w:t>
            </w:r>
          </w:p>
        </w:tc>
      </w:tr>
      <w:tr>
        <w:tblPrEx>
          <w:tblCellMar>
            <w:top w:w="0" w:type="dxa"/>
            <w:left w:w="108" w:type="dxa"/>
            <w:bottom w:w="0" w:type="dxa"/>
            <w:right w:w="108" w:type="dxa"/>
          </w:tblCellMar>
        </w:tblPrEx>
        <w:trPr>
          <w:trHeight w:val="1370" w:hRule="atLeast"/>
        </w:trPr>
        <w:tc>
          <w:tcPr>
            <w:tcW w:w="709" w:type="dxa"/>
            <w:vMerge w:val="continue"/>
            <w:tcBorders>
              <w:top w:val="nil"/>
              <w:left w:val="single" w:color="auto" w:sz="8" w:space="0"/>
              <w:bottom w:val="single" w:color="000000" w:sz="8"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1134" w:type="dxa"/>
            <w:vMerge w:val="continue"/>
            <w:tcBorders>
              <w:top w:val="nil"/>
              <w:left w:val="single" w:color="auto" w:sz="8" w:space="0"/>
              <w:bottom w:val="single" w:color="000000" w:sz="8" w:space="0"/>
              <w:right w:val="single" w:color="auto" w:sz="8" w:space="0"/>
            </w:tcBorders>
            <w:vAlign w:val="center"/>
          </w:tcPr>
          <w:p>
            <w:pPr>
              <w:widowControl/>
              <w:jc w:val="left"/>
              <w:rPr>
                <w:rFonts w:hint="eastAsia" w:ascii="仿宋" w:hAnsi="仿宋" w:eastAsia="仿宋" w:cs="仿宋"/>
                <w:color w:val="000000"/>
                <w:kern w:val="0"/>
                <w:sz w:val="24"/>
                <w:szCs w:val="24"/>
              </w:rPr>
            </w:pPr>
          </w:p>
        </w:tc>
        <w:tc>
          <w:tcPr>
            <w:tcW w:w="6521" w:type="dxa"/>
            <w:tcBorders>
              <w:top w:val="nil"/>
              <w:left w:val="nil"/>
              <w:bottom w:val="single" w:color="auto" w:sz="8" w:space="0"/>
              <w:right w:val="single" w:color="auto" w:sz="8"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成功案例：2016年以来，投标单位具有类似金蝶EAS等系统硬件平台升级和迁移项目，且单项合同金额20万（含）以上的成功案例，有一个得2分，最高6分。（合同复印件装订在投标文件中，原件或公证件备查）</w:t>
            </w:r>
          </w:p>
        </w:tc>
        <w:tc>
          <w:tcPr>
            <w:tcW w:w="850"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6</w:t>
            </w:r>
          </w:p>
        </w:tc>
      </w:tr>
    </w:tbl>
    <w:p/>
    <w:p>
      <w:pPr>
        <w:rPr>
          <w:rFonts w:hint="eastAsia" w:ascii="宋体" w:hAnsi="宋体"/>
          <w:sz w:val="24"/>
          <w:szCs w:val="21"/>
        </w:rPr>
      </w:pPr>
      <w:r>
        <w:rPr>
          <w:rFonts w:hint="eastAsia" w:ascii="宋体" w:hAnsi="宋体"/>
          <w:sz w:val="24"/>
          <w:szCs w:val="21"/>
        </w:rPr>
        <w:br w:type="page"/>
      </w:r>
    </w:p>
    <w:p>
      <w:pPr>
        <w:spacing w:line="360" w:lineRule="exact"/>
        <w:ind w:firstLine="480" w:firstLineChars="200"/>
        <w:rPr>
          <w:rFonts w:hint="eastAsia" w:ascii="宋体" w:hAnsi="宋体"/>
          <w:sz w:val="24"/>
          <w:szCs w:val="21"/>
        </w:rPr>
      </w:pPr>
    </w:p>
    <w:p>
      <w:pPr>
        <w:pStyle w:val="20"/>
        <w:jc w:val="center"/>
        <w:rPr>
          <w:rFonts w:hint="eastAsia" w:ascii="仿宋" w:hAnsi="仿宋" w:eastAsia="仿宋" w:cs="仿宋"/>
        </w:rPr>
      </w:pPr>
      <w:bookmarkStart w:id="6" w:name="_Toc6627"/>
      <w:bookmarkStart w:id="7" w:name="_Toc9456"/>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8" w:name="_Toc8618"/>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书香酒店集团EAS系统硬件升级项目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w:t>
      </w:r>
      <w:r>
        <w:rPr>
          <w:rFonts w:hint="eastAsia" w:ascii="仿宋" w:hAnsi="仿宋" w:eastAsia="仿宋" w:cs="仿宋"/>
          <w:color w:val="000000"/>
          <w:sz w:val="24"/>
          <w:szCs w:val="24"/>
          <w:lang w:eastAsia="zh-CN"/>
        </w:rPr>
        <w:t>该项目</w:t>
      </w:r>
      <w:r>
        <w:rPr>
          <w:rFonts w:hint="eastAsia" w:ascii="仿宋" w:hAnsi="仿宋" w:eastAsia="仿宋" w:cs="仿宋"/>
          <w:color w:val="000000"/>
          <w:sz w:val="24"/>
          <w:szCs w:val="24"/>
        </w:rPr>
        <w:t>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书香酒店集团EAS系统硬件升级项目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书香酒店集团EAS系统硬件升级项目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bookmarkStart w:id="9" w:name="_GoBack"/>
      <w:bookmarkEnd w:id="9"/>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20</w:t>
      </w:r>
      <w:r>
        <w:rPr>
          <w:rFonts w:hint="eastAsia" w:ascii="仿宋" w:hAnsi="仿宋" w:eastAsia="仿宋" w:cs="仿宋"/>
          <w:color w:val="000000"/>
          <w:sz w:val="24"/>
          <w:szCs w:val="24"/>
          <w:lang w:val="en-US" w:eastAsia="zh-CN"/>
        </w:rPr>
        <w:t>20</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w:t>
      </w:r>
      <w:r>
        <w:rPr>
          <w:rFonts w:hint="eastAsia" w:ascii="仿宋" w:hAnsi="仿宋" w:eastAsia="仿宋" w:cs="仿宋"/>
          <w:color w:val="000000"/>
          <w:sz w:val="24"/>
          <w:szCs w:val="24"/>
          <w:lang w:val="en-US" w:eastAsia="zh-CN"/>
        </w:rPr>
        <w:t>20</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书香酒店集团EAS系统硬件升级项目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4FBD14"/>
    <w:multiLevelType w:val="singleLevel"/>
    <w:tmpl w:val="1A4FBD14"/>
    <w:lvl w:ilvl="0" w:tentative="0">
      <w:start w:val="1"/>
      <w:numFmt w:val="decimalEnclosedCircleChinese"/>
      <w:suff w:val="nothing"/>
      <w:lvlText w:val="%1、"/>
      <w:lvlJc w:val="left"/>
      <w:rPr>
        <w:rFonts w:hint="eastAsia"/>
      </w:rPr>
    </w:lvl>
  </w:abstractNum>
  <w:abstractNum w:abstractNumId="2">
    <w:nsid w:val="5A20AA93"/>
    <w:multiLevelType w:val="singleLevel"/>
    <w:tmpl w:val="5A20AA93"/>
    <w:lvl w:ilvl="0" w:tentative="0">
      <w:start w:val="2"/>
      <w:numFmt w:val="chineseCounting"/>
      <w:suff w:val="nothing"/>
      <w:lvlText w:val="第%1章"/>
      <w:lvlJc w:val="left"/>
    </w:lvl>
  </w:abstractNum>
  <w:abstractNum w:abstractNumId="3">
    <w:nsid w:val="7A1F5167"/>
    <w:multiLevelType w:val="multilevel"/>
    <w:tmpl w:val="7A1F5167"/>
    <w:lvl w:ilvl="0" w:tentative="0">
      <w:start w:val="1"/>
      <w:numFmt w:val="decimal"/>
      <w:pStyle w:val="42"/>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137318"/>
    <w:rsid w:val="033F3AC2"/>
    <w:rsid w:val="03B46ED9"/>
    <w:rsid w:val="03C42A1C"/>
    <w:rsid w:val="042B7828"/>
    <w:rsid w:val="047E4028"/>
    <w:rsid w:val="049669A0"/>
    <w:rsid w:val="04BA2A6D"/>
    <w:rsid w:val="04CC6957"/>
    <w:rsid w:val="04EF3402"/>
    <w:rsid w:val="053061FF"/>
    <w:rsid w:val="05A02791"/>
    <w:rsid w:val="05E02607"/>
    <w:rsid w:val="06A44178"/>
    <w:rsid w:val="06AC47FD"/>
    <w:rsid w:val="06BF642B"/>
    <w:rsid w:val="07463C80"/>
    <w:rsid w:val="076B32D4"/>
    <w:rsid w:val="07BD766A"/>
    <w:rsid w:val="07CD30E4"/>
    <w:rsid w:val="082F0254"/>
    <w:rsid w:val="0856062D"/>
    <w:rsid w:val="091D3F5E"/>
    <w:rsid w:val="094F412C"/>
    <w:rsid w:val="09AE3F0E"/>
    <w:rsid w:val="09EA5B12"/>
    <w:rsid w:val="09F424AA"/>
    <w:rsid w:val="0A360457"/>
    <w:rsid w:val="0A562427"/>
    <w:rsid w:val="0A703510"/>
    <w:rsid w:val="0A7C3DA6"/>
    <w:rsid w:val="0B624E01"/>
    <w:rsid w:val="0CCC038B"/>
    <w:rsid w:val="0CF35A6D"/>
    <w:rsid w:val="0D741A78"/>
    <w:rsid w:val="0D87650A"/>
    <w:rsid w:val="0D9F761A"/>
    <w:rsid w:val="0DD643AE"/>
    <w:rsid w:val="0E0541C1"/>
    <w:rsid w:val="0E1B31AF"/>
    <w:rsid w:val="0E620C08"/>
    <w:rsid w:val="0E7A670E"/>
    <w:rsid w:val="0EA07550"/>
    <w:rsid w:val="0EEC098B"/>
    <w:rsid w:val="0F4E0335"/>
    <w:rsid w:val="0F6839CF"/>
    <w:rsid w:val="0F863BE2"/>
    <w:rsid w:val="0FD445F4"/>
    <w:rsid w:val="101E2384"/>
    <w:rsid w:val="105630BE"/>
    <w:rsid w:val="116F0D88"/>
    <w:rsid w:val="119D18BB"/>
    <w:rsid w:val="11A95A00"/>
    <w:rsid w:val="11C77DB8"/>
    <w:rsid w:val="11FE3433"/>
    <w:rsid w:val="12632863"/>
    <w:rsid w:val="130C13F7"/>
    <w:rsid w:val="131019BE"/>
    <w:rsid w:val="13AD5D4B"/>
    <w:rsid w:val="13B30401"/>
    <w:rsid w:val="14291F78"/>
    <w:rsid w:val="14F733F0"/>
    <w:rsid w:val="14FA4BBC"/>
    <w:rsid w:val="159B3714"/>
    <w:rsid w:val="16755A32"/>
    <w:rsid w:val="169B2570"/>
    <w:rsid w:val="171668FF"/>
    <w:rsid w:val="17291035"/>
    <w:rsid w:val="173C598B"/>
    <w:rsid w:val="17846ED2"/>
    <w:rsid w:val="178F1883"/>
    <w:rsid w:val="17B950B8"/>
    <w:rsid w:val="17FB4C11"/>
    <w:rsid w:val="18056EF7"/>
    <w:rsid w:val="185446B4"/>
    <w:rsid w:val="18DC484F"/>
    <w:rsid w:val="195A63B7"/>
    <w:rsid w:val="19AD68D9"/>
    <w:rsid w:val="1A0C52D9"/>
    <w:rsid w:val="1A267315"/>
    <w:rsid w:val="1AF72300"/>
    <w:rsid w:val="1AFC0475"/>
    <w:rsid w:val="1BC570E4"/>
    <w:rsid w:val="1BDC1168"/>
    <w:rsid w:val="1BFA3660"/>
    <w:rsid w:val="1C58631E"/>
    <w:rsid w:val="1C5F36CE"/>
    <w:rsid w:val="1C850908"/>
    <w:rsid w:val="1CFF670B"/>
    <w:rsid w:val="1D7A2005"/>
    <w:rsid w:val="1D9305D0"/>
    <w:rsid w:val="1DAA732B"/>
    <w:rsid w:val="1DB45EFF"/>
    <w:rsid w:val="1DCE40B2"/>
    <w:rsid w:val="1E4C161E"/>
    <w:rsid w:val="1EE62766"/>
    <w:rsid w:val="1F6024E0"/>
    <w:rsid w:val="207E7F83"/>
    <w:rsid w:val="20C10BA7"/>
    <w:rsid w:val="20E46263"/>
    <w:rsid w:val="210F7AF4"/>
    <w:rsid w:val="21892F84"/>
    <w:rsid w:val="218C3E40"/>
    <w:rsid w:val="21A4008A"/>
    <w:rsid w:val="21D449AB"/>
    <w:rsid w:val="22030B0F"/>
    <w:rsid w:val="22206576"/>
    <w:rsid w:val="228C7812"/>
    <w:rsid w:val="23B12644"/>
    <w:rsid w:val="2490627B"/>
    <w:rsid w:val="25301B87"/>
    <w:rsid w:val="25A36702"/>
    <w:rsid w:val="25E34D3F"/>
    <w:rsid w:val="268C0539"/>
    <w:rsid w:val="269C3786"/>
    <w:rsid w:val="26F040DE"/>
    <w:rsid w:val="275C50D1"/>
    <w:rsid w:val="27BB268D"/>
    <w:rsid w:val="27DE63C3"/>
    <w:rsid w:val="27EB7D12"/>
    <w:rsid w:val="281B66B2"/>
    <w:rsid w:val="28367BE4"/>
    <w:rsid w:val="28C46E10"/>
    <w:rsid w:val="29246921"/>
    <w:rsid w:val="29BF3475"/>
    <w:rsid w:val="2A2969F4"/>
    <w:rsid w:val="2A541F38"/>
    <w:rsid w:val="2A56475E"/>
    <w:rsid w:val="2A9030DF"/>
    <w:rsid w:val="2AD14C79"/>
    <w:rsid w:val="2B342EB3"/>
    <w:rsid w:val="2B88597B"/>
    <w:rsid w:val="2C3B11CB"/>
    <w:rsid w:val="2C7B2CA8"/>
    <w:rsid w:val="2C91378A"/>
    <w:rsid w:val="2CA4188C"/>
    <w:rsid w:val="2CAC0903"/>
    <w:rsid w:val="2CDF2662"/>
    <w:rsid w:val="2CF97D51"/>
    <w:rsid w:val="2D5C1B84"/>
    <w:rsid w:val="2D9B09E0"/>
    <w:rsid w:val="2DCC337E"/>
    <w:rsid w:val="2E1D5AD2"/>
    <w:rsid w:val="2E2267E9"/>
    <w:rsid w:val="2E367DBC"/>
    <w:rsid w:val="2E8E6225"/>
    <w:rsid w:val="2E9500F1"/>
    <w:rsid w:val="2F344DC8"/>
    <w:rsid w:val="2F51066A"/>
    <w:rsid w:val="2F8E0489"/>
    <w:rsid w:val="31906EAD"/>
    <w:rsid w:val="31D25200"/>
    <w:rsid w:val="32125E52"/>
    <w:rsid w:val="32701839"/>
    <w:rsid w:val="32C73A5B"/>
    <w:rsid w:val="33694E96"/>
    <w:rsid w:val="33697DC8"/>
    <w:rsid w:val="3370332B"/>
    <w:rsid w:val="337F0129"/>
    <w:rsid w:val="338E6DE1"/>
    <w:rsid w:val="33CC1E01"/>
    <w:rsid w:val="345A3CFF"/>
    <w:rsid w:val="34AA1F07"/>
    <w:rsid w:val="34E66245"/>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90D7BA1"/>
    <w:rsid w:val="39124837"/>
    <w:rsid w:val="3A537EB4"/>
    <w:rsid w:val="3AF469EF"/>
    <w:rsid w:val="3B4746CE"/>
    <w:rsid w:val="3B812076"/>
    <w:rsid w:val="3BD151ED"/>
    <w:rsid w:val="3C5052F4"/>
    <w:rsid w:val="3C731B93"/>
    <w:rsid w:val="3D584B2F"/>
    <w:rsid w:val="3D607ACA"/>
    <w:rsid w:val="3D7B4D40"/>
    <w:rsid w:val="3D9C350E"/>
    <w:rsid w:val="3E097D7B"/>
    <w:rsid w:val="3E7A3D4A"/>
    <w:rsid w:val="3F4D7D97"/>
    <w:rsid w:val="3FA33AD8"/>
    <w:rsid w:val="3FE810FD"/>
    <w:rsid w:val="403D46E0"/>
    <w:rsid w:val="4073181B"/>
    <w:rsid w:val="409D363B"/>
    <w:rsid w:val="41103E9B"/>
    <w:rsid w:val="41F07EC1"/>
    <w:rsid w:val="422C2F00"/>
    <w:rsid w:val="43110884"/>
    <w:rsid w:val="4375684E"/>
    <w:rsid w:val="43AA0AE4"/>
    <w:rsid w:val="43F21023"/>
    <w:rsid w:val="442B216A"/>
    <w:rsid w:val="4480471D"/>
    <w:rsid w:val="449017FE"/>
    <w:rsid w:val="45424C4A"/>
    <w:rsid w:val="456C74AC"/>
    <w:rsid w:val="45875DE0"/>
    <w:rsid w:val="46337FCA"/>
    <w:rsid w:val="46831EA8"/>
    <w:rsid w:val="47792559"/>
    <w:rsid w:val="48C377A6"/>
    <w:rsid w:val="49074C73"/>
    <w:rsid w:val="490C14AE"/>
    <w:rsid w:val="492A4491"/>
    <w:rsid w:val="49907691"/>
    <w:rsid w:val="49CD4389"/>
    <w:rsid w:val="49E44009"/>
    <w:rsid w:val="49EE3483"/>
    <w:rsid w:val="49F477ED"/>
    <w:rsid w:val="49FB0086"/>
    <w:rsid w:val="4AA00BE0"/>
    <w:rsid w:val="4ACC77BD"/>
    <w:rsid w:val="4AF90EFC"/>
    <w:rsid w:val="4B211C49"/>
    <w:rsid w:val="4B600068"/>
    <w:rsid w:val="4BA05CCB"/>
    <w:rsid w:val="4BA41B88"/>
    <w:rsid w:val="4C1079C5"/>
    <w:rsid w:val="4C2B6F87"/>
    <w:rsid w:val="4C704F30"/>
    <w:rsid w:val="4CBF0D28"/>
    <w:rsid w:val="4D034B13"/>
    <w:rsid w:val="4D98605B"/>
    <w:rsid w:val="4DE034F7"/>
    <w:rsid w:val="4E9D154C"/>
    <w:rsid w:val="4ECE20AE"/>
    <w:rsid w:val="4EDD4EA7"/>
    <w:rsid w:val="4EF61CFF"/>
    <w:rsid w:val="4F5E27E2"/>
    <w:rsid w:val="4FD5143E"/>
    <w:rsid w:val="4FFF6617"/>
    <w:rsid w:val="50502A0C"/>
    <w:rsid w:val="509E4071"/>
    <w:rsid w:val="50C82B0E"/>
    <w:rsid w:val="50D24405"/>
    <w:rsid w:val="50FF30BE"/>
    <w:rsid w:val="51007A44"/>
    <w:rsid w:val="510D4F58"/>
    <w:rsid w:val="518C2C03"/>
    <w:rsid w:val="5251274D"/>
    <w:rsid w:val="52722A63"/>
    <w:rsid w:val="530071CC"/>
    <w:rsid w:val="53157485"/>
    <w:rsid w:val="5319393D"/>
    <w:rsid w:val="532C0C91"/>
    <w:rsid w:val="53DD5FC6"/>
    <w:rsid w:val="543A2922"/>
    <w:rsid w:val="54847773"/>
    <w:rsid w:val="54B866C9"/>
    <w:rsid w:val="54FA1CA7"/>
    <w:rsid w:val="558619EB"/>
    <w:rsid w:val="55887DF1"/>
    <w:rsid w:val="55973D2A"/>
    <w:rsid w:val="559C7E5C"/>
    <w:rsid w:val="55A10B51"/>
    <w:rsid w:val="55DF25A4"/>
    <w:rsid w:val="57D14C02"/>
    <w:rsid w:val="57FD4FE7"/>
    <w:rsid w:val="580F7DC7"/>
    <w:rsid w:val="586C64CB"/>
    <w:rsid w:val="589C290E"/>
    <w:rsid w:val="59752E25"/>
    <w:rsid w:val="59817CCE"/>
    <w:rsid w:val="598A5175"/>
    <w:rsid w:val="599256CF"/>
    <w:rsid w:val="599A3C33"/>
    <w:rsid w:val="5A236EC2"/>
    <w:rsid w:val="5A43340D"/>
    <w:rsid w:val="5A450F6B"/>
    <w:rsid w:val="5A613734"/>
    <w:rsid w:val="5A6E519E"/>
    <w:rsid w:val="5B873401"/>
    <w:rsid w:val="5B8A3610"/>
    <w:rsid w:val="5BAF3B52"/>
    <w:rsid w:val="5C625009"/>
    <w:rsid w:val="5C745E91"/>
    <w:rsid w:val="5C964D3C"/>
    <w:rsid w:val="5CBF1249"/>
    <w:rsid w:val="5CEB2E23"/>
    <w:rsid w:val="5D070CE7"/>
    <w:rsid w:val="5DB837FB"/>
    <w:rsid w:val="5DD54524"/>
    <w:rsid w:val="5EA66F51"/>
    <w:rsid w:val="5EFE5176"/>
    <w:rsid w:val="5F213563"/>
    <w:rsid w:val="5F53513A"/>
    <w:rsid w:val="5F9B1D33"/>
    <w:rsid w:val="601F2EA1"/>
    <w:rsid w:val="60552271"/>
    <w:rsid w:val="607B3751"/>
    <w:rsid w:val="609B01A1"/>
    <w:rsid w:val="60D26CFA"/>
    <w:rsid w:val="60E046A2"/>
    <w:rsid w:val="612239EA"/>
    <w:rsid w:val="616B6389"/>
    <w:rsid w:val="6180007C"/>
    <w:rsid w:val="61C071FF"/>
    <w:rsid w:val="61D51E88"/>
    <w:rsid w:val="61EB5F5B"/>
    <w:rsid w:val="627231E0"/>
    <w:rsid w:val="6341693F"/>
    <w:rsid w:val="63474995"/>
    <w:rsid w:val="637827B5"/>
    <w:rsid w:val="63C40DE8"/>
    <w:rsid w:val="63EF5947"/>
    <w:rsid w:val="64252099"/>
    <w:rsid w:val="642E083B"/>
    <w:rsid w:val="64725D11"/>
    <w:rsid w:val="6487551E"/>
    <w:rsid w:val="64CB2C98"/>
    <w:rsid w:val="64D17D81"/>
    <w:rsid w:val="64D53F1A"/>
    <w:rsid w:val="64E22FFD"/>
    <w:rsid w:val="652F6778"/>
    <w:rsid w:val="6533011D"/>
    <w:rsid w:val="664E76E7"/>
    <w:rsid w:val="665E0C30"/>
    <w:rsid w:val="669303D9"/>
    <w:rsid w:val="66B172B2"/>
    <w:rsid w:val="67077ED9"/>
    <w:rsid w:val="67162867"/>
    <w:rsid w:val="67936A17"/>
    <w:rsid w:val="67950753"/>
    <w:rsid w:val="67A13562"/>
    <w:rsid w:val="67E02E9E"/>
    <w:rsid w:val="68E916D7"/>
    <w:rsid w:val="695E2FDB"/>
    <w:rsid w:val="6A285CE3"/>
    <w:rsid w:val="6A756629"/>
    <w:rsid w:val="6AFF3B23"/>
    <w:rsid w:val="6B591C27"/>
    <w:rsid w:val="6BA862BD"/>
    <w:rsid w:val="6BF87318"/>
    <w:rsid w:val="6C1D1673"/>
    <w:rsid w:val="6C222A6F"/>
    <w:rsid w:val="6CB92937"/>
    <w:rsid w:val="6CE34D69"/>
    <w:rsid w:val="6D22664C"/>
    <w:rsid w:val="6D3911BE"/>
    <w:rsid w:val="6D43654D"/>
    <w:rsid w:val="6E9B756B"/>
    <w:rsid w:val="6FE60CE4"/>
    <w:rsid w:val="6FFD78D4"/>
    <w:rsid w:val="705928DA"/>
    <w:rsid w:val="708915EC"/>
    <w:rsid w:val="70BD080D"/>
    <w:rsid w:val="716235F4"/>
    <w:rsid w:val="719F083E"/>
    <w:rsid w:val="71C3638A"/>
    <w:rsid w:val="71CF1C1D"/>
    <w:rsid w:val="71D06DDE"/>
    <w:rsid w:val="720311C6"/>
    <w:rsid w:val="724C30A8"/>
    <w:rsid w:val="72730101"/>
    <w:rsid w:val="72DC67C8"/>
    <w:rsid w:val="7321788E"/>
    <w:rsid w:val="735D5A77"/>
    <w:rsid w:val="73D03AC6"/>
    <w:rsid w:val="749116C1"/>
    <w:rsid w:val="74E819FA"/>
    <w:rsid w:val="75192DAF"/>
    <w:rsid w:val="75265064"/>
    <w:rsid w:val="75AE223D"/>
    <w:rsid w:val="766D2A87"/>
    <w:rsid w:val="768B77ED"/>
    <w:rsid w:val="769A13A3"/>
    <w:rsid w:val="770601E9"/>
    <w:rsid w:val="7714539C"/>
    <w:rsid w:val="774760CB"/>
    <w:rsid w:val="779E2A31"/>
    <w:rsid w:val="7827349A"/>
    <w:rsid w:val="79D346EE"/>
    <w:rsid w:val="7A644347"/>
    <w:rsid w:val="7B09414F"/>
    <w:rsid w:val="7B1D42EB"/>
    <w:rsid w:val="7BFA1B51"/>
    <w:rsid w:val="7CF72D47"/>
    <w:rsid w:val="7CFA5801"/>
    <w:rsid w:val="7D49411F"/>
    <w:rsid w:val="7E025758"/>
    <w:rsid w:val="7E3F627C"/>
    <w:rsid w:val="7E6606C5"/>
    <w:rsid w:val="7ED76318"/>
    <w:rsid w:val="7F165714"/>
    <w:rsid w:val="7F6233FC"/>
    <w:rsid w:val="7F781D3D"/>
    <w:rsid w:val="7F7C75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0"/>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paragraph" w:styleId="6">
    <w:name w:val="heading 5"/>
    <w:basedOn w:val="1"/>
    <w:next w:val="1"/>
    <w:semiHidden/>
    <w:unhideWhenUsed/>
    <w:qFormat/>
    <w:uiPriority w:val="0"/>
    <w:pPr>
      <w:keepNext/>
      <w:ind w:left="57" w:leftChars="27"/>
      <w:outlineLvl w:val="4"/>
    </w:pPr>
    <w:rPr>
      <w:rFonts w:ascii="黑体" w:eastAsia="黑体"/>
      <w:b/>
      <w:color w:val="000000"/>
      <w:kern w:val="0"/>
      <w:szCs w:val="24"/>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7">
    <w:name w:val="Normal Indent"/>
    <w:basedOn w:val="1"/>
    <w:unhideWhenUsed/>
    <w:qFormat/>
    <w:uiPriority w:val="0"/>
    <w:pPr>
      <w:widowControl w:val="0"/>
      <w:ind w:firstLine="420"/>
      <w:jc w:val="both"/>
    </w:pPr>
    <w:rPr>
      <w:kern w:val="2"/>
      <w:sz w:val="21"/>
      <w:szCs w:val="20"/>
    </w:rPr>
  </w:style>
  <w:style w:type="paragraph" w:styleId="8">
    <w:name w:val="annotation text"/>
    <w:basedOn w:val="1"/>
    <w:unhideWhenUsed/>
    <w:qFormat/>
    <w:uiPriority w:val="0"/>
    <w:pPr>
      <w:jc w:val="left"/>
    </w:pPr>
  </w:style>
  <w:style w:type="paragraph" w:styleId="9">
    <w:name w:val="Body Text"/>
    <w:basedOn w:val="1"/>
    <w:unhideWhenUsed/>
    <w:qFormat/>
    <w:uiPriority w:val="0"/>
    <w:pPr>
      <w:spacing w:after="120"/>
    </w:p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1">
    <w:name w:val="Plain Text"/>
    <w:basedOn w:val="1"/>
    <w:link w:val="29"/>
    <w:qFormat/>
    <w:uiPriority w:val="0"/>
    <w:rPr>
      <w:rFonts w:ascii="宋体" w:hAnsi="Courier New"/>
      <w:szCs w:val="20"/>
    </w:r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4"/>
    <w:unhideWhenUsed/>
    <w:qFormat/>
    <w:uiPriority w:val="0"/>
    <w:rPr>
      <w:sz w:val="18"/>
      <w:szCs w:val="18"/>
    </w:rPr>
  </w:style>
  <w:style w:type="paragraph" w:styleId="14">
    <w:name w:val="footer"/>
    <w:basedOn w:val="1"/>
    <w:link w:val="28"/>
    <w:qFormat/>
    <w:uiPriority w:val="0"/>
    <w:pPr>
      <w:tabs>
        <w:tab w:val="center" w:pos="4153"/>
        <w:tab w:val="right" w:pos="8306"/>
      </w:tabs>
      <w:snapToGrid w:val="0"/>
      <w:jc w:val="left"/>
    </w:pPr>
    <w:rPr>
      <w:sz w:val="18"/>
      <w:szCs w:val="18"/>
    </w:rPr>
  </w:style>
  <w:style w:type="paragraph" w:styleId="15">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9"/>
    <w:qFormat/>
    <w:uiPriority w:val="0"/>
    <w:pPr>
      <w:spacing w:before="240" w:after="60"/>
      <w:jc w:val="center"/>
      <w:outlineLvl w:val="0"/>
    </w:pPr>
    <w:rPr>
      <w:rFonts w:asciiTheme="majorHAnsi" w:hAnsiTheme="majorHAnsi" w:cstheme="majorBidi"/>
      <w:b/>
      <w:bCs/>
      <w:sz w:val="32"/>
      <w:szCs w:val="32"/>
    </w:rPr>
  </w:style>
  <w:style w:type="paragraph" w:styleId="21">
    <w:name w:val="Body Text First Indent"/>
    <w:basedOn w:val="9"/>
    <w:qFormat/>
    <w:uiPriority w:val="0"/>
    <w:pPr>
      <w:ind w:firstLine="420" w:firstLineChars="100"/>
    </w:pPr>
    <w:rPr>
      <w:szCs w:val="24"/>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Hyperlink"/>
    <w:basedOn w:val="24"/>
    <w:unhideWhenUsed/>
    <w:qFormat/>
    <w:uiPriority w:val="99"/>
    <w:rPr>
      <w:color w:val="0563C1" w:themeColor="hyperlink"/>
      <w:u w:val="single"/>
      <w14:textFill>
        <w14:solidFill>
          <w14:schemeClr w14:val="hlink"/>
        </w14:solidFill>
      </w14:textFill>
    </w:rPr>
  </w:style>
  <w:style w:type="character" w:styleId="26">
    <w:name w:val="annotation reference"/>
    <w:basedOn w:val="24"/>
    <w:unhideWhenUsed/>
    <w:qFormat/>
    <w:uiPriority w:val="0"/>
    <w:rPr>
      <w:sz w:val="21"/>
      <w:szCs w:val="21"/>
    </w:rPr>
  </w:style>
  <w:style w:type="character" w:customStyle="1" w:styleId="27">
    <w:name w:val="页眉 Char"/>
    <w:basedOn w:val="24"/>
    <w:link w:val="15"/>
    <w:qFormat/>
    <w:uiPriority w:val="0"/>
    <w:rPr>
      <w:kern w:val="2"/>
      <w:sz w:val="18"/>
      <w:szCs w:val="18"/>
    </w:rPr>
  </w:style>
  <w:style w:type="character" w:customStyle="1" w:styleId="28">
    <w:name w:val="页脚 Char"/>
    <w:basedOn w:val="24"/>
    <w:link w:val="14"/>
    <w:qFormat/>
    <w:uiPriority w:val="0"/>
    <w:rPr>
      <w:kern w:val="2"/>
      <w:sz w:val="18"/>
      <w:szCs w:val="18"/>
    </w:rPr>
  </w:style>
  <w:style w:type="character" w:customStyle="1" w:styleId="29">
    <w:name w:val="纯文本 Char"/>
    <w:basedOn w:val="24"/>
    <w:link w:val="11"/>
    <w:qFormat/>
    <w:uiPriority w:val="0"/>
    <w:rPr>
      <w:rFonts w:ascii="宋体" w:hAnsi="Courier New"/>
      <w:kern w:val="2"/>
      <w:sz w:val="21"/>
    </w:rPr>
  </w:style>
  <w:style w:type="character" w:customStyle="1" w:styleId="30">
    <w:name w:val="纯文本 Char1"/>
    <w:basedOn w:val="24"/>
    <w:qFormat/>
    <w:uiPriority w:val="0"/>
    <w:rPr>
      <w:rFonts w:ascii="宋体" w:hAnsi="Courier New" w:cs="Courier New"/>
      <w:kern w:val="2"/>
      <w:sz w:val="21"/>
      <w:szCs w:val="21"/>
    </w:rPr>
  </w:style>
  <w:style w:type="paragraph" w:customStyle="1" w:styleId="31">
    <w:name w:val="列出段落1"/>
    <w:basedOn w:val="1"/>
    <w:unhideWhenUsed/>
    <w:qFormat/>
    <w:uiPriority w:val="99"/>
    <w:pPr>
      <w:ind w:firstLine="420" w:firstLineChars="200"/>
    </w:pPr>
  </w:style>
  <w:style w:type="paragraph" w:customStyle="1" w:styleId="3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Blockquote"/>
    <w:basedOn w:val="1"/>
    <w:qFormat/>
    <w:uiPriority w:val="0"/>
    <w:pPr>
      <w:autoSpaceDE w:val="0"/>
      <w:autoSpaceDN w:val="0"/>
      <w:adjustRightInd w:val="0"/>
      <w:ind w:left="360" w:right="360"/>
      <w:jc w:val="left"/>
    </w:pPr>
    <w:rPr>
      <w:kern w:val="0"/>
      <w:sz w:val="24"/>
      <w:szCs w:val="20"/>
    </w:rPr>
  </w:style>
  <w:style w:type="character" w:customStyle="1" w:styleId="34">
    <w:name w:val="批注框文本 Char"/>
    <w:basedOn w:val="24"/>
    <w:link w:val="13"/>
    <w:semiHidden/>
    <w:qFormat/>
    <w:uiPriority w:val="0"/>
    <w:rPr>
      <w:kern w:val="2"/>
      <w:sz w:val="18"/>
      <w:szCs w:val="18"/>
    </w:rPr>
  </w:style>
  <w:style w:type="paragraph" w:customStyle="1" w:styleId="3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6">
    <w:name w:val="cjk"/>
    <w:basedOn w:val="1"/>
    <w:qFormat/>
    <w:uiPriority w:val="0"/>
    <w:pPr>
      <w:spacing w:before="284" w:after="100" w:afterAutospacing="1" w:line="360" w:lineRule="auto"/>
    </w:pPr>
    <w:rPr>
      <w:sz w:val="22"/>
    </w:rPr>
  </w:style>
  <w:style w:type="paragraph" w:customStyle="1" w:styleId="37">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8">
    <w:name w:val="List Paragraph"/>
    <w:basedOn w:val="1"/>
    <w:unhideWhenUsed/>
    <w:qFormat/>
    <w:uiPriority w:val="99"/>
    <w:pPr>
      <w:ind w:firstLine="420" w:firstLineChars="200"/>
    </w:pPr>
  </w:style>
  <w:style w:type="character" w:customStyle="1" w:styleId="39">
    <w:name w:val="标题 Char"/>
    <w:basedOn w:val="24"/>
    <w:link w:val="20"/>
    <w:qFormat/>
    <w:uiPriority w:val="0"/>
    <w:rPr>
      <w:rFonts w:asciiTheme="majorHAnsi" w:hAnsiTheme="majorHAnsi" w:cstheme="majorBidi"/>
      <w:b/>
      <w:bCs/>
      <w:kern w:val="2"/>
      <w:sz w:val="32"/>
      <w:szCs w:val="32"/>
    </w:rPr>
  </w:style>
  <w:style w:type="character" w:customStyle="1" w:styleId="40">
    <w:name w:val="标题 1 Char"/>
    <w:basedOn w:val="24"/>
    <w:link w:val="2"/>
    <w:qFormat/>
    <w:uiPriority w:val="0"/>
    <w:rPr>
      <w:b/>
      <w:bCs/>
      <w:kern w:val="44"/>
      <w:sz w:val="44"/>
      <w:szCs w:val="44"/>
    </w:rPr>
  </w:style>
  <w:style w:type="paragraph" w:customStyle="1" w:styleId="4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2">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3">
    <w:name w:val="font01"/>
    <w:basedOn w:val="24"/>
    <w:qFormat/>
    <w:uiPriority w:val="0"/>
    <w:rPr>
      <w:rFonts w:hint="eastAsia" w:ascii="黑体" w:hAnsi="宋体" w:eastAsia="黑体" w:cs="黑体"/>
      <w:color w:val="FF0000"/>
      <w:sz w:val="18"/>
      <w:szCs w:val="18"/>
      <w:u w:val="none"/>
    </w:rPr>
  </w:style>
  <w:style w:type="character" w:customStyle="1" w:styleId="44">
    <w:name w:val="font11"/>
    <w:basedOn w:val="24"/>
    <w:qFormat/>
    <w:uiPriority w:val="0"/>
    <w:rPr>
      <w:rFonts w:hint="eastAsia" w:ascii="黑体" w:hAnsi="宋体" w:eastAsia="黑体" w:cs="黑体"/>
      <w:color w:val="000000"/>
      <w:sz w:val="18"/>
      <w:szCs w:val="18"/>
      <w:u w:val="none"/>
    </w:rPr>
  </w:style>
  <w:style w:type="character" w:customStyle="1" w:styleId="45">
    <w:name w:val="font51"/>
    <w:basedOn w:val="24"/>
    <w:qFormat/>
    <w:uiPriority w:val="0"/>
    <w:rPr>
      <w:rFonts w:hint="eastAsia" w:ascii="黑体" w:hAnsi="宋体" w:eastAsia="黑体" w:cs="黑体"/>
      <w:color w:val="000000"/>
      <w:sz w:val="18"/>
      <w:szCs w:val="18"/>
      <w:u w:val="none"/>
    </w:rPr>
  </w:style>
  <w:style w:type="paragraph" w:customStyle="1" w:styleId="46">
    <w:name w:val="正文 A"/>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paragraph" w:customStyle="1" w:styleId="47">
    <w:name w:val="HD正文1"/>
    <w:qFormat/>
    <w:uiPriority w:val="0"/>
    <w:pPr>
      <w:framePr w:wrap="around" w:vAnchor="margin" w:hAnchor="text" w:y="1"/>
      <w:widowControl w:val="0"/>
      <w:spacing w:line="440" w:lineRule="atLeast"/>
      <w:ind w:firstLine="540"/>
      <w:jc w:val="both"/>
    </w:pPr>
    <w:rPr>
      <w:rFonts w:hint="eastAsia" w:ascii="Arial Unicode MS" w:hAnsi="Arial Unicode MS" w:eastAsia="Arial Unicode MS" w:cs="Arial Unicode MS"/>
      <w:color w:val="000000"/>
      <w:kern w:val="2"/>
      <w:sz w:val="24"/>
      <w:szCs w:val="24"/>
      <w:u w:color="000000"/>
      <w:lang w:val="en-US" w:eastAsia="zh-CN" w:bidi="ar-SA"/>
    </w:rPr>
  </w:style>
  <w:style w:type="paragraph" w:customStyle="1" w:styleId="48">
    <w:name w:val="页眉与页脚"/>
    <w:qFormat/>
    <w:uiPriority w:val="0"/>
    <w:pPr>
      <w:framePr w:wrap="around" w:vAnchor="margin" w:hAnchor="text" w:y="1"/>
      <w:tabs>
        <w:tab w:val="right" w:pos="9020"/>
      </w:tabs>
    </w:pPr>
    <w:rPr>
      <w:rFonts w:ascii="Helvetica" w:hAnsi="Helvetica" w:eastAsia="Arial Unicode MS" w:cs="Arial Unicode MS"/>
      <w:color w:val="000000"/>
      <w:kern w:val="0"/>
      <w:sz w:val="24"/>
      <w:szCs w:val="24"/>
      <w:lang w:val="en-US" w:eastAsia="zh-CN" w:bidi="ar-SA"/>
    </w:rPr>
  </w:style>
  <w:style w:type="paragraph" w:customStyle="1" w:styleId="49">
    <w:name w:val="页脚1"/>
    <w:qFormat/>
    <w:uiPriority w:val="0"/>
    <w:pPr>
      <w:framePr w:wrap="around" w:vAnchor="margin" w:hAnchor="text" w:y="1"/>
      <w:widowControl w:val="0"/>
      <w:tabs>
        <w:tab w:val="center" w:pos="4153"/>
        <w:tab w:val="right" w:pos="8306"/>
      </w:tabs>
    </w:pPr>
    <w:rPr>
      <w:rFonts w:ascii="Calibri" w:hAnsi="Calibri" w:eastAsia="Calibri" w:cs="Calibri"/>
      <w:color w:val="000000"/>
      <w:kern w:val="0"/>
      <w:sz w:val="18"/>
      <w:szCs w:val="18"/>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2</TotalTime>
  <ScaleCrop>false</ScaleCrop>
  <LinksUpToDate>false</LinksUpToDate>
  <CharactersWithSpaces>17111</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2020-03-11T03:01:15Z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