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招标编号：SXCG202001-F-001</w:t>
      </w:r>
    </w:p>
    <w:p>
      <w:pPr>
        <w:overflowPunct w:val="0"/>
        <w:jc w:val="center"/>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项目名称：书香酒店集团设计标准指导手册编纂</w:t>
      </w:r>
    </w:p>
    <w:p>
      <w:pPr>
        <w:overflowPunct w:val="0"/>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单位：书香酒店投资管理集团有限公司</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2020</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01</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10</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40"/>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_Toc23310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_Toc23310 </w:instrText>
      </w:r>
      <w:r>
        <w:fldChar w:fldCharType="separate"/>
      </w:r>
      <w:r>
        <w:t>3</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_Toc25685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_Toc25685 </w:instrText>
      </w:r>
      <w:r>
        <w:fldChar w:fldCharType="separate"/>
      </w:r>
      <w:r>
        <w:t>4</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_Toc20441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r>
        <w:tab/>
      </w:r>
      <w:r>
        <w:fldChar w:fldCharType="begin"/>
      </w:r>
      <w:r>
        <w:instrText xml:space="preserve"> PAGEREF _Toc20441 </w:instrText>
      </w:r>
      <w:r>
        <w:fldChar w:fldCharType="separate"/>
      </w:r>
      <w:r>
        <w:t>7</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_Toc10295 </w:instrText>
      </w:r>
      <w:r>
        <w:rPr>
          <w:rFonts w:hint="eastAsia" w:ascii="仿宋" w:hAnsi="仿宋" w:eastAsia="仿宋" w:cs="仿宋"/>
        </w:rPr>
        <w:fldChar w:fldCharType="separate"/>
      </w:r>
      <w:r>
        <w:rPr>
          <w:rFonts w:hint="eastAsia" w:ascii="仿宋" w:hAnsi="仿宋" w:eastAsia="仿宋" w:cs="仿宋"/>
          <w:lang w:eastAsia="zh-CN"/>
        </w:rPr>
        <w:t>第四章、附件</w:t>
      </w:r>
      <w:r>
        <w:tab/>
      </w:r>
      <w:r>
        <w:fldChar w:fldCharType="begin"/>
      </w:r>
      <w:r>
        <w:instrText xml:space="preserve"> PAGEREF _Toc10295 </w:instrText>
      </w:r>
      <w:r>
        <w:fldChar w:fldCharType="separate"/>
      </w:r>
      <w:r>
        <w:t>10</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20"/>
        <w:jc w:val="center"/>
        <w:rPr>
          <w:rFonts w:hint="eastAsia" w:ascii="仿宋" w:hAnsi="仿宋" w:eastAsia="仿宋" w:cs="仿宋"/>
        </w:rPr>
      </w:pPr>
      <w:bookmarkStart w:id="0" w:name="_Toc4118"/>
      <w:bookmarkStart w:id="1" w:name="_Toc23310"/>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书香酒店集团设计标准指导手册编纂</w:t>
      </w:r>
    </w:p>
    <w:p>
      <w:pPr>
        <w:rPr>
          <w:rFonts w:hint="eastAsia" w:ascii="仿宋" w:hAnsi="仿宋" w:eastAsia="仿宋" w:cs="仿宋"/>
          <w:sz w:val="24"/>
          <w:szCs w:val="28"/>
          <w:lang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SXCG202001-F-001</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8"/>
          <w:highlight w:val="none"/>
          <w:lang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评标方式：选择合理低价者进行合作（同时综合考虑报价单位的综合能力）</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lang w:val="en-US" w:eastAsia="zh-CN"/>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rPr>
      </w:pPr>
      <w:r>
        <w:rPr>
          <w:rFonts w:hint="eastAsia" w:ascii="仿宋" w:hAnsi="仿宋" w:eastAsia="仿宋" w:cs="仿宋"/>
          <w:sz w:val="24"/>
          <w:szCs w:val="28"/>
        </w:rPr>
        <w:t xml:space="preserve">                                            日期：20</w:t>
      </w:r>
      <w:r>
        <w:rPr>
          <w:rFonts w:hint="eastAsia" w:ascii="仿宋" w:hAnsi="仿宋" w:eastAsia="仿宋" w:cs="仿宋"/>
          <w:sz w:val="24"/>
          <w:szCs w:val="28"/>
          <w:lang w:val="en-US" w:eastAsia="zh-CN"/>
        </w:rPr>
        <w:t>20</w:t>
      </w:r>
      <w:r>
        <w:rPr>
          <w:rFonts w:hint="eastAsia" w:ascii="仿宋" w:hAnsi="仿宋" w:eastAsia="仿宋" w:cs="仿宋"/>
          <w:sz w:val="24"/>
          <w:szCs w:val="28"/>
        </w:rPr>
        <w:t>年</w:t>
      </w:r>
      <w:r>
        <w:rPr>
          <w:rFonts w:hint="eastAsia" w:ascii="仿宋" w:hAnsi="仿宋" w:eastAsia="仿宋" w:cs="仿宋"/>
          <w:sz w:val="24"/>
          <w:szCs w:val="28"/>
          <w:lang w:val="en-US" w:eastAsia="zh-CN"/>
        </w:rPr>
        <w:t>01</w:t>
      </w:r>
      <w:r>
        <w:rPr>
          <w:rFonts w:hint="eastAsia" w:ascii="仿宋" w:hAnsi="仿宋" w:eastAsia="仿宋" w:cs="仿宋"/>
          <w:sz w:val="24"/>
          <w:szCs w:val="28"/>
        </w:rPr>
        <w:t>月</w:t>
      </w:r>
      <w:r>
        <w:rPr>
          <w:rFonts w:hint="eastAsia" w:ascii="仿宋" w:hAnsi="仿宋" w:eastAsia="仿宋" w:cs="仿宋"/>
          <w:sz w:val="24"/>
          <w:szCs w:val="28"/>
          <w:lang w:val="en-US" w:eastAsia="zh-CN"/>
        </w:rPr>
        <w:t>10</w:t>
      </w:r>
      <w:r>
        <w:rPr>
          <w:rFonts w:hint="eastAsia" w:ascii="仿宋" w:hAnsi="仿宋" w:eastAsia="仿宋" w:cs="仿宋"/>
          <w:sz w:val="24"/>
          <w:szCs w:val="28"/>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20"/>
        <w:numPr>
          <w:ilvl w:val="0"/>
          <w:numId w:val="2"/>
        </w:numPr>
        <w:rPr>
          <w:rFonts w:hint="eastAsia" w:ascii="仿宋" w:hAnsi="仿宋" w:eastAsia="仿宋" w:cs="仿宋"/>
        </w:rPr>
      </w:pPr>
      <w:bookmarkStart w:id="3" w:name="_Toc25685"/>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21"/>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：SXCG202001-F-001</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：书香酒店集团设计标准指导手册编纂</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项目要求</w:t>
            </w:r>
            <w:r>
              <w:rPr>
                <w:rFonts w:hint="eastAsia" w:ascii="仿宋" w:hAnsi="仿宋" w:eastAsia="仿宋" w:cs="仿宋"/>
                <w:sz w:val="24"/>
                <w:szCs w:val="24"/>
                <w:lang w:val="en-US" w:eastAsia="zh-CN"/>
              </w:rPr>
              <w:t>：详见第三章</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b/>
                <w:bCs/>
                <w:sz w:val="24"/>
                <w:szCs w:val="24"/>
                <w:lang w:val="en-US" w:eastAsia="zh-CN"/>
              </w:rPr>
              <w:t>投标有效期</w:t>
            </w:r>
            <w:r>
              <w:rPr>
                <w:rFonts w:hint="eastAsia" w:ascii="仿宋" w:hAnsi="仿宋" w:eastAsia="仿宋" w:cs="仿宋"/>
                <w:sz w:val="24"/>
                <w:szCs w:val="24"/>
                <w:lang w:val="en-US" w:eastAsia="zh-CN"/>
              </w:rPr>
              <w:t>：60日历天</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咨询方式</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24"/>
                <w:rFonts w:hint="eastAsia" w:ascii="仿宋" w:hAnsi="仿宋" w:eastAsia="仿宋" w:cs="仿宋"/>
                <w:sz w:val="24"/>
                <w:szCs w:val="24"/>
                <w:lang w:val="en-US" w:eastAsia="zh-CN"/>
              </w:rPr>
              <w:t>在收到本招标文件后，如有疑问需要澄清，投标人有咨询需求的请在收到招标文件后的3个工作日内邮件报送至hqps@soocor.co</w:t>
            </w:r>
            <w:bookmarkStart w:id="6" w:name="_GoBack"/>
            <w:bookmarkEnd w:id="6"/>
            <w:r>
              <w:rPr>
                <w:rStyle w:val="24"/>
                <w:rFonts w:hint="eastAsia" w:ascii="仿宋" w:hAnsi="仿宋" w:eastAsia="仿宋" w:cs="仿宋"/>
                <w:sz w:val="24"/>
                <w:szCs w:val="24"/>
                <w:lang w:val="en-US" w:eastAsia="zh-CN"/>
              </w:rPr>
              <w:t>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招标文件咨询联系人：周工，电话：18817376790</w:t>
            </w:r>
          </w:p>
          <w:p>
            <w:pPr>
              <w:jc w:val="both"/>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地址：苏州市三香路333号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①、2020年01月15 日前，发到各投标单位邮箱。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投标人资质及要求</w:t>
            </w:r>
          </w:p>
        </w:tc>
        <w:tc>
          <w:tcPr>
            <w:tcW w:w="7035" w:type="dxa"/>
            <w:tcBorders>
              <w:tl2br w:val="nil"/>
              <w:tr2bl w:val="nil"/>
            </w:tcBorders>
          </w:tcPr>
          <w:p>
            <w:pPr>
              <w:numPr>
                <w:ilvl w:val="0"/>
                <w:numId w:val="0"/>
              </w:numPr>
              <w:spacing w:line="400" w:lineRule="atLeast"/>
              <w:rPr>
                <w:rFonts w:hint="default" w:ascii="仿宋" w:hAnsi="仿宋" w:eastAsia="仿宋" w:cs="仿宋"/>
                <w:sz w:val="24"/>
                <w:szCs w:val="28"/>
                <w:lang w:val="en-US" w:eastAsia="zh-CN"/>
              </w:rPr>
            </w:pPr>
            <w:r>
              <w:rPr>
                <w:rFonts w:hint="default" w:ascii="仿宋" w:hAnsi="仿宋" w:eastAsia="仿宋" w:cs="仿宋"/>
                <w:sz w:val="24"/>
                <w:szCs w:val="28"/>
                <w:lang w:val="en-US" w:eastAsia="zh-CN"/>
              </w:rPr>
              <w:t>1、具有独立法人资格的经济实体或联合体</w:t>
            </w:r>
          </w:p>
          <w:p>
            <w:pPr>
              <w:numPr>
                <w:ilvl w:val="0"/>
                <w:numId w:val="0"/>
              </w:numPr>
              <w:spacing w:line="400" w:lineRule="atLeast"/>
              <w:rPr>
                <w:rFonts w:hint="default" w:ascii="仿宋" w:hAnsi="仿宋" w:eastAsia="仿宋" w:cs="仿宋"/>
                <w:sz w:val="24"/>
                <w:szCs w:val="28"/>
                <w:lang w:val="en-US" w:eastAsia="zh-CN"/>
              </w:rPr>
            </w:pPr>
            <w:r>
              <w:rPr>
                <w:rFonts w:hint="default" w:ascii="仿宋" w:hAnsi="仿宋" w:eastAsia="仿宋" w:cs="仿宋"/>
                <w:sz w:val="24"/>
                <w:szCs w:val="28"/>
                <w:lang w:val="en-US" w:eastAsia="zh-CN"/>
              </w:rPr>
              <w:t>2、具有内装设计资质并能深刻理解书香品牌的设计风格、理念</w:t>
            </w:r>
          </w:p>
          <w:p>
            <w:pPr>
              <w:numPr>
                <w:ilvl w:val="0"/>
                <w:numId w:val="0"/>
              </w:numPr>
              <w:spacing w:line="400" w:lineRule="atLeast"/>
              <w:rPr>
                <w:rFonts w:hint="default" w:ascii="仿宋" w:hAnsi="仿宋" w:eastAsia="仿宋" w:cs="仿宋"/>
                <w:sz w:val="24"/>
                <w:szCs w:val="28"/>
                <w:lang w:val="en-US" w:eastAsia="zh-CN"/>
              </w:rPr>
            </w:pPr>
            <w:r>
              <w:rPr>
                <w:rFonts w:hint="eastAsia" w:ascii="仿宋" w:hAnsi="仿宋" w:eastAsia="仿宋" w:cs="仿宋"/>
                <w:sz w:val="24"/>
                <w:szCs w:val="28"/>
                <w:lang w:val="en-US" w:eastAsia="zh-CN"/>
              </w:rPr>
              <w:t>3、</w:t>
            </w:r>
            <w:r>
              <w:rPr>
                <w:rFonts w:hint="default" w:ascii="仿宋" w:hAnsi="仿宋" w:eastAsia="仿宋" w:cs="仿宋"/>
                <w:sz w:val="24"/>
                <w:szCs w:val="28"/>
                <w:lang w:val="en-US" w:eastAsia="zh-CN"/>
              </w:rPr>
              <w:t>有独立完成书香酒店集团相关项目成功经验（设计合同金额20万以上）</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二</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2020</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01</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17</w:t>
            </w:r>
            <w:r>
              <w:rPr>
                <w:rFonts w:hint="eastAsia" w:ascii="仿宋" w:hAnsi="仿宋" w:eastAsia="仿宋" w:cs="仿宋"/>
                <w:b/>
                <w:bCs/>
                <w:color w:val="auto"/>
                <w:sz w:val="24"/>
                <w:szCs w:val="24"/>
                <w:highlight w:val="yellow"/>
              </w:rPr>
              <w:t>日上午</w:t>
            </w:r>
            <w:r>
              <w:rPr>
                <w:rFonts w:hint="eastAsia" w:ascii="仿宋" w:hAnsi="仿宋" w:eastAsia="仿宋" w:cs="仿宋"/>
                <w:b/>
                <w:bCs/>
                <w:color w:val="auto"/>
                <w:sz w:val="24"/>
                <w:szCs w:val="24"/>
                <w:highlight w:val="yellow"/>
                <w:lang w:val="en-US" w:eastAsia="zh-CN"/>
              </w:rPr>
              <w:t>10</w:t>
            </w:r>
            <w:r>
              <w:rPr>
                <w:rFonts w:hint="eastAsia" w:ascii="仿宋" w:hAnsi="仿宋" w:eastAsia="仿宋" w:cs="仿宋"/>
                <w:b/>
                <w:bCs/>
                <w:color w:val="auto"/>
                <w:sz w:val="24"/>
                <w:szCs w:val="24"/>
                <w:highlight w:val="yellow"/>
              </w:rPr>
              <w:t>：00之前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钱总</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13915556818（只接收投标文件，不接受咨询）</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①、本项目只允许有一个报价，任何有选择的报价将不予接受。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②、</w:t>
            </w:r>
            <w:r>
              <w:rPr>
                <w:rFonts w:hint="eastAsia" w:ascii="仿宋" w:hAnsi="仿宋" w:eastAsia="仿宋" w:cs="仿宋"/>
                <w:sz w:val="24"/>
                <w:szCs w:val="24"/>
                <w:highlight w:val="none"/>
              </w:rPr>
              <w:t>报价书必须符合招标文件的实质性要求，最终</w:t>
            </w:r>
            <w:r>
              <w:rPr>
                <w:rFonts w:hint="eastAsia" w:ascii="仿宋" w:hAnsi="仿宋" w:eastAsia="仿宋" w:cs="仿宋"/>
                <w:sz w:val="24"/>
                <w:szCs w:val="28"/>
                <w:highlight w:val="none"/>
                <w:lang w:eastAsia="zh-CN"/>
              </w:rPr>
              <w:t>选择</w:t>
            </w:r>
            <w:r>
              <w:rPr>
                <w:rFonts w:hint="eastAsia" w:ascii="仿宋" w:hAnsi="仿宋" w:eastAsia="仿宋" w:cs="仿宋"/>
                <w:b/>
                <w:bCs/>
                <w:sz w:val="24"/>
                <w:szCs w:val="28"/>
                <w:highlight w:val="none"/>
                <w:lang w:eastAsia="zh-CN"/>
              </w:rPr>
              <w:t>合理低价者</w:t>
            </w:r>
            <w:r>
              <w:rPr>
                <w:rFonts w:hint="eastAsia" w:ascii="仿宋" w:hAnsi="仿宋" w:eastAsia="仿宋" w:cs="仿宋"/>
                <w:sz w:val="24"/>
                <w:szCs w:val="28"/>
                <w:highlight w:val="none"/>
                <w:lang w:eastAsia="zh-CN"/>
              </w:rPr>
              <w:t>进行合作</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投标报价包含人工费、税金、手册制作费等该项目所需的一切费用。</w:t>
            </w:r>
          </w:p>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其它有关物价、人工上涨的风险等。</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4"/>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highlight w:val="none"/>
          <w:lang w:val="en-US" w:eastAsia="zh-CN"/>
        </w:rPr>
        <w:t>、有下列情况之一者，投标书无效：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sz w:val="24"/>
          <w:szCs w:val="28"/>
        </w:rPr>
      </w:pPr>
      <w:r>
        <w:rPr>
          <w:rFonts w:hint="eastAsia" w:ascii="仿宋" w:hAnsi="仿宋" w:eastAsia="仿宋" w:cs="仿宋"/>
          <w:b/>
          <w:bCs/>
          <w:sz w:val="24"/>
          <w:szCs w:val="28"/>
          <w:lang w:val="en-US" w:eastAsia="zh-CN"/>
        </w:rPr>
        <w:t>1</w:t>
      </w:r>
      <w:r>
        <w:rPr>
          <w:rFonts w:hint="eastAsia" w:ascii="仿宋" w:hAnsi="仿宋" w:eastAsia="仿宋" w:cs="仿宋"/>
          <w:b/>
          <w:bCs/>
          <w:sz w:val="24"/>
          <w:szCs w:val="28"/>
        </w:rPr>
        <w:t>、</w:t>
      </w:r>
      <w:r>
        <w:rPr>
          <w:rFonts w:hint="eastAsia" w:ascii="仿宋" w:hAnsi="仿宋" w:eastAsia="仿宋" w:cs="仿宋"/>
          <w:b/>
          <w:bCs/>
          <w:sz w:val="24"/>
          <w:szCs w:val="24"/>
        </w:rPr>
        <w:t>资信文件：</w:t>
      </w:r>
    </w:p>
    <w:p>
      <w:pPr>
        <w:numPr>
          <w:ilvl w:val="255"/>
          <w:numId w:val="0"/>
        </w:numPr>
        <w:tabs>
          <w:tab w:val="left" w:pos="5562"/>
        </w:tabs>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①</w:t>
      </w:r>
      <w:r>
        <w:rPr>
          <w:rFonts w:hint="eastAsia" w:ascii="仿宋" w:hAnsi="仿宋" w:eastAsia="仿宋" w:cs="仿宋"/>
          <w:sz w:val="24"/>
          <w:szCs w:val="28"/>
        </w:rPr>
        <w:t>、</w:t>
      </w:r>
      <w:r>
        <w:rPr>
          <w:rFonts w:hint="eastAsia" w:ascii="仿宋" w:hAnsi="仿宋" w:eastAsia="仿宋" w:cs="仿宋"/>
          <w:sz w:val="24"/>
          <w:szCs w:val="24"/>
        </w:rPr>
        <w:t>投标函（见</w:t>
      </w:r>
      <w:r>
        <w:rPr>
          <w:rFonts w:hint="eastAsia" w:ascii="仿宋" w:hAnsi="仿宋" w:eastAsia="仿宋" w:cs="仿宋"/>
          <w:sz w:val="24"/>
          <w:szCs w:val="24"/>
          <w:lang w:eastAsia="zh-CN"/>
        </w:rPr>
        <w:t>附件</w:t>
      </w:r>
      <w:r>
        <w:rPr>
          <w:rFonts w:hint="eastAsia" w:ascii="仿宋" w:hAnsi="仿宋" w:eastAsia="仿宋" w:cs="仿宋"/>
          <w:sz w:val="24"/>
          <w:szCs w:val="24"/>
        </w:rPr>
        <w:t>1）</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、投标承诺函（见</w:t>
      </w:r>
      <w:r>
        <w:rPr>
          <w:rFonts w:hint="eastAsia" w:ascii="仿宋" w:hAnsi="仿宋" w:eastAsia="仿宋" w:cs="仿宋"/>
          <w:sz w:val="24"/>
          <w:szCs w:val="24"/>
          <w:lang w:eastAsia="zh-CN"/>
        </w:rPr>
        <w:t>附件</w:t>
      </w:r>
      <w:r>
        <w:rPr>
          <w:rFonts w:hint="eastAsia" w:ascii="仿宋" w:hAnsi="仿宋" w:eastAsia="仿宋" w:cs="仿宋"/>
          <w:sz w:val="24"/>
          <w:szCs w:val="24"/>
        </w:rPr>
        <w:t>2）</w:t>
      </w:r>
    </w:p>
    <w:p>
      <w:pPr>
        <w:numPr>
          <w:ilvl w:val="255"/>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③、廉洁经营特别约定条款（见附件</w:t>
      </w: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④</w:t>
      </w:r>
      <w:r>
        <w:rPr>
          <w:rFonts w:hint="eastAsia" w:ascii="仿宋" w:hAnsi="仿宋" w:eastAsia="仿宋" w:cs="仿宋"/>
          <w:sz w:val="24"/>
          <w:szCs w:val="24"/>
        </w:rPr>
        <w:t>、法定代表人授权委托书（见</w:t>
      </w:r>
      <w:r>
        <w:rPr>
          <w:rFonts w:hint="eastAsia" w:ascii="仿宋" w:hAnsi="仿宋" w:eastAsia="仿宋" w:cs="仿宋"/>
          <w:sz w:val="24"/>
          <w:szCs w:val="24"/>
          <w:lang w:eastAsia="zh-CN"/>
        </w:rPr>
        <w:t>附件</w:t>
      </w:r>
      <w:r>
        <w:rPr>
          <w:rFonts w:hint="eastAsia" w:ascii="仿宋" w:hAnsi="仿宋" w:eastAsia="仿宋" w:cs="仿宋"/>
          <w:sz w:val="24"/>
          <w:szCs w:val="24"/>
          <w:lang w:val="en-US" w:eastAsia="zh-CN"/>
        </w:rPr>
        <w:t>4</w:t>
      </w:r>
      <w:r>
        <w:rPr>
          <w:rFonts w:hint="eastAsia" w:ascii="仿宋" w:hAnsi="仿宋" w:eastAsia="仿宋" w:cs="仿宋"/>
          <w:sz w:val="24"/>
          <w:szCs w:val="24"/>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⑤</w:t>
      </w:r>
      <w:r>
        <w:rPr>
          <w:rFonts w:hint="eastAsia" w:ascii="仿宋" w:hAnsi="仿宋" w:eastAsia="仿宋" w:cs="仿宋"/>
          <w:sz w:val="24"/>
          <w:szCs w:val="24"/>
        </w:rPr>
        <w:t>、法定代表人身份证明</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8"/>
          <w:lang w:eastAsia="zh-CN"/>
        </w:rPr>
        <w:t>⑥</w:t>
      </w:r>
      <w:r>
        <w:rPr>
          <w:rFonts w:hint="eastAsia" w:ascii="仿宋" w:hAnsi="仿宋" w:eastAsia="仿宋" w:cs="仿宋"/>
          <w:sz w:val="24"/>
          <w:szCs w:val="24"/>
        </w:rPr>
        <w:t>、企业营业执照复印件、资质证书、安全生产许可证</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质量管理体系认证证书</w:t>
      </w:r>
      <w:r>
        <w:rPr>
          <w:rFonts w:hint="eastAsia" w:ascii="仿宋" w:hAnsi="仿宋" w:eastAsia="仿宋" w:cs="仿宋"/>
          <w:sz w:val="24"/>
          <w:szCs w:val="24"/>
        </w:rPr>
        <w:t>等（加盖公章）</w:t>
      </w:r>
    </w:p>
    <w:p>
      <w:pPr>
        <w:numPr>
          <w:ilvl w:val="255"/>
          <w:numId w:val="0"/>
        </w:numPr>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⑦</w:t>
      </w:r>
      <w:r>
        <w:rPr>
          <w:rFonts w:hint="eastAsia" w:ascii="仿宋" w:hAnsi="仿宋" w:eastAsia="仿宋" w:cs="仿宋"/>
          <w:sz w:val="24"/>
          <w:szCs w:val="28"/>
        </w:rPr>
        <w:t>、</w:t>
      </w:r>
      <w:r>
        <w:rPr>
          <w:rFonts w:hint="eastAsia" w:ascii="仿宋" w:hAnsi="仿宋" w:eastAsia="仿宋" w:cs="仿宋"/>
          <w:sz w:val="24"/>
          <w:szCs w:val="24"/>
        </w:rPr>
        <w:t>投标人认为符合招标人要求的有效的其他资质及需要说明的资料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、商务文件：</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①</w:t>
      </w:r>
      <w:r>
        <w:rPr>
          <w:rFonts w:hint="eastAsia" w:ascii="仿宋" w:hAnsi="仿宋" w:eastAsia="仿宋" w:cs="仿宋"/>
          <w:sz w:val="24"/>
          <w:szCs w:val="24"/>
        </w:rPr>
        <w:t>、投标人情况介绍（</w:t>
      </w:r>
      <w:r>
        <w:rPr>
          <w:rFonts w:hint="eastAsia" w:ascii="仿宋" w:hAnsi="仿宋" w:eastAsia="仿宋" w:cs="仿宋"/>
          <w:sz w:val="24"/>
          <w:szCs w:val="24"/>
          <w:lang w:eastAsia="zh-CN"/>
        </w:rPr>
        <w:t>主营业务</w:t>
      </w:r>
      <w:r>
        <w:rPr>
          <w:rFonts w:hint="eastAsia" w:ascii="仿宋" w:hAnsi="仿宋" w:eastAsia="仿宋" w:cs="仿宋"/>
          <w:sz w:val="24"/>
          <w:szCs w:val="24"/>
        </w:rPr>
        <w:t>、技术力量、经营业绩）</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、投标人认为可以证明其能力或业绩的其他材料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sz w:val="24"/>
          <w:szCs w:val="24"/>
          <w:lang w:eastAsia="zh-CN"/>
        </w:rPr>
        <w:t>③</w:t>
      </w:r>
      <w:r>
        <w:rPr>
          <w:rFonts w:hint="eastAsia" w:ascii="仿宋" w:hAnsi="仿宋" w:eastAsia="仿宋" w:cs="仿宋"/>
          <w:sz w:val="24"/>
          <w:szCs w:val="24"/>
        </w:rPr>
        <w:t>、</w:t>
      </w:r>
      <w:r>
        <w:rPr>
          <w:rFonts w:hint="eastAsia" w:ascii="仿宋" w:hAnsi="仿宋" w:eastAsia="仿宋" w:cs="仿宋"/>
          <w:sz w:val="24"/>
          <w:szCs w:val="24"/>
          <w:lang w:eastAsia="zh-CN"/>
        </w:rPr>
        <w:t>相关</w:t>
      </w:r>
      <w:r>
        <w:rPr>
          <w:rFonts w:hint="eastAsia" w:ascii="仿宋" w:hAnsi="仿宋" w:eastAsia="仿宋" w:cs="仿宋"/>
          <w:sz w:val="24"/>
          <w:szCs w:val="24"/>
        </w:rPr>
        <w:t>案例的业绩证明</w:t>
      </w:r>
      <w:r>
        <w:rPr>
          <w:rFonts w:hint="eastAsia" w:ascii="仿宋" w:hAnsi="仿宋" w:eastAsia="仿宋" w:cs="仿宋"/>
          <w:b/>
          <w:bCs/>
          <w:sz w:val="24"/>
          <w:szCs w:val="24"/>
        </w:rPr>
        <w:t>（投标人同类项目实施情况一览表、合同复印件、用户验收单报告复印件）</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w:t>
      </w:r>
      <w:r>
        <w:rPr>
          <w:rFonts w:hint="eastAsia" w:ascii="仿宋" w:hAnsi="仿宋" w:eastAsia="仿宋" w:cs="仿宋"/>
          <w:b/>
          <w:bCs/>
          <w:sz w:val="24"/>
          <w:szCs w:val="24"/>
          <w:lang w:eastAsia="zh-CN"/>
        </w:rPr>
        <w:t>报价</w:t>
      </w:r>
      <w:r>
        <w:rPr>
          <w:rFonts w:hint="eastAsia" w:ascii="仿宋" w:hAnsi="仿宋" w:eastAsia="仿宋" w:cs="仿宋"/>
          <w:b/>
          <w:bCs/>
          <w:sz w:val="24"/>
          <w:szCs w:val="24"/>
        </w:rPr>
        <w:t>文件：</w:t>
      </w:r>
    </w:p>
    <w:p>
      <w:pPr>
        <w:numPr>
          <w:ilvl w:val="255"/>
          <w:numId w:val="0"/>
        </w:numPr>
        <w:spacing w:line="360" w:lineRule="auto"/>
        <w:rPr>
          <w:rFonts w:hint="eastAsia" w:ascii="仿宋" w:hAnsi="仿宋" w:eastAsia="仿宋" w:cs="仿宋"/>
          <w:b/>
          <w:bCs/>
          <w:sz w:val="24"/>
          <w:szCs w:val="24"/>
          <w:lang w:eastAsia="zh-CN"/>
        </w:rPr>
      </w:pPr>
      <w:r>
        <w:rPr>
          <w:rFonts w:hint="eastAsia" w:ascii="仿宋" w:hAnsi="仿宋" w:eastAsia="仿宋" w:cs="仿宋"/>
          <w:sz w:val="24"/>
          <w:szCs w:val="24"/>
          <w:lang w:eastAsia="zh-CN"/>
        </w:rPr>
        <w:t>①、投标报价</w:t>
      </w:r>
    </w:p>
    <w:p>
      <w:pPr>
        <w:rPr>
          <w:rFonts w:hint="eastAsia" w:ascii="仿宋" w:hAnsi="仿宋" w:eastAsia="仿宋" w:cs="仿宋"/>
          <w:b/>
          <w:bCs/>
          <w:szCs w:val="21"/>
          <w:lang w:eastAsia="zh-CN"/>
        </w:rPr>
      </w:pPr>
      <w:r>
        <w:rPr>
          <w:rFonts w:hint="eastAsia" w:ascii="仿宋" w:hAnsi="仿宋" w:eastAsia="仿宋" w:cs="仿宋"/>
          <w:b/>
          <w:bCs/>
          <w:szCs w:val="21"/>
          <w:lang w:eastAsia="zh-CN"/>
        </w:rPr>
        <w:br w:type="page"/>
      </w:r>
    </w:p>
    <w:p>
      <w:pPr>
        <w:pStyle w:val="20"/>
        <w:jc w:val="center"/>
        <w:rPr>
          <w:rFonts w:hint="eastAsia" w:ascii="仿宋" w:hAnsi="仿宋" w:eastAsia="仿宋" w:cs="仿宋"/>
          <w:lang w:eastAsia="zh-CN"/>
        </w:rPr>
      </w:pPr>
      <w:bookmarkStart w:id="4" w:name="_Toc20441"/>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bookmarkEnd w:id="4"/>
    </w:p>
    <w:p>
      <w:pPr>
        <w:numPr>
          <w:ilvl w:val="0"/>
          <w:numId w:val="0"/>
        </w:numPr>
        <w:spacing w:line="400" w:lineRule="atLeast"/>
        <w:rPr>
          <w:rFonts w:hint="eastAsia" w:ascii="仿宋" w:hAnsi="仿宋" w:eastAsia="仿宋" w:cs="仿宋"/>
          <w:sz w:val="24"/>
          <w:szCs w:val="24"/>
          <w:lang w:val="en-US" w:eastAsia="zh-CN"/>
        </w:rPr>
      </w:pPr>
    </w:p>
    <w:p>
      <w:pPr>
        <w:numPr>
          <w:ilvl w:val="0"/>
          <w:numId w:val="5"/>
        </w:numPr>
        <w:spacing w:line="400" w:lineRule="atLeast"/>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数量及规格要求</w:t>
      </w:r>
    </w:p>
    <w:p>
      <w:pPr>
        <w:rPr>
          <w:rFonts w:hint="eastAsia" w:ascii="宋体" w:hAnsi="宋体" w:eastAsia="宋体" w:cs="宋体"/>
          <w:b/>
          <w:color w:val="000000"/>
          <w:sz w:val="24"/>
          <w:szCs w:val="24"/>
          <w:lang w:eastAsia="zh-CN"/>
        </w:rPr>
      </w:pPr>
      <w:r>
        <w:rPr>
          <w:rFonts w:hint="eastAsia" w:ascii="宋体" w:hAnsi="宋体" w:eastAsia="宋体" w:cs="宋体"/>
          <w:b/>
          <w:color w:val="000000"/>
          <w:sz w:val="24"/>
          <w:szCs w:val="24"/>
        </w:rPr>
        <w:t>1、</w:t>
      </w:r>
      <w:r>
        <w:rPr>
          <w:rFonts w:hint="eastAsia" w:ascii="宋体" w:hAnsi="宋体" w:eastAsia="宋体" w:cs="宋体"/>
          <w:b/>
          <w:color w:val="000000"/>
          <w:sz w:val="24"/>
          <w:szCs w:val="24"/>
          <w:lang w:eastAsia="zh-CN"/>
        </w:rPr>
        <w:t>书香集团简介</w:t>
      </w:r>
    </w:p>
    <w:p>
      <w:pPr>
        <w:numPr>
          <w:ilvl w:val="255"/>
          <w:numId w:val="0"/>
        </w:num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书香酒店投资管理集团有限公司总部设于苏州，是由中国500强企业苏州创元投资发展（集团）有限公司控股的集团型企业，公司注册资金RMB1.268亿元，年营收近6亿元（不含托管及加盟酒店）。</w:t>
      </w:r>
    </w:p>
    <w:p>
      <w:pPr>
        <w:numPr>
          <w:ilvl w:val="255"/>
          <w:numId w:val="0"/>
        </w:num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书香酒店集团第一家酒店于2003年8月开业，现已在全国7省16市发展了40多家书香连锁酒店，客房规模总量逾5000间。随着品牌影响力的不断提升，书香由单一品牌衍生为“书香府邸”、“书香世家”、“书香门第”、书香心泊”多个高中低不同档次的关联品牌。</w:t>
      </w:r>
    </w:p>
    <w:p>
      <w:pPr>
        <w:numPr>
          <w:ilvl w:val="255"/>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书香酒店集团集传统与现代、古典与时尚、婉约与华贵为一体，以2500年绵延深厚的吴文化为底蕴，融入了苏州古典园林和建筑之古韵遗风，倡导“体验生活，品味文化”的现代生活理念，借鉴国际主题酒店的经营理念，以“斯是陋室、唯吾德馨”为境界，融入“恬淡中和、翰墨飘香”的人文精神，是繁华都市中宁静致远的一方净土，书香酒店集团致力于为宾客营造身心愉悦、诗情画意的起居空间。 </w:t>
      </w:r>
    </w:p>
    <w:p>
      <w:pPr>
        <w:rPr>
          <w:rFonts w:hint="eastAsia" w:ascii="宋体" w:hAnsi="宋体" w:eastAsia="宋体" w:cs="宋体"/>
          <w:b/>
          <w:color w:val="000000"/>
          <w:sz w:val="24"/>
          <w:szCs w:val="24"/>
          <w:lang w:eastAsia="zh-CN"/>
        </w:rPr>
      </w:pPr>
    </w:p>
    <w:p>
      <w:pPr>
        <w:numPr>
          <w:ilvl w:val="0"/>
          <w:numId w:val="6"/>
        </w:numPr>
        <w:tabs>
          <w:tab w:val="left" w:pos="180"/>
          <w:tab w:val="left" w:pos="945"/>
        </w:tabs>
        <w:spacing w:line="360" w:lineRule="auto"/>
        <w:rPr>
          <w:rFonts w:hint="eastAsia" w:ascii="宋体" w:hAnsi="宋体" w:eastAsia="宋体" w:cs="宋体"/>
          <w:b/>
          <w:bCs/>
          <w:color w:val="000000"/>
          <w:sz w:val="24"/>
          <w:lang w:val="en-US" w:eastAsia="zh-CN"/>
        </w:rPr>
      </w:pPr>
      <w:r>
        <w:rPr>
          <w:rFonts w:hint="eastAsia" w:ascii="宋体" w:hAnsi="宋体" w:eastAsia="宋体" w:cs="宋体"/>
          <w:b/>
          <w:bCs/>
          <w:kern w:val="2"/>
          <w:sz w:val="24"/>
          <w:szCs w:val="24"/>
          <w:lang w:val="en-US" w:eastAsia="zh-CN" w:bidi="ar-SA"/>
        </w:rPr>
        <w:t>书香酒店投资管理集团设计标准手册内容</w:t>
      </w:r>
    </w:p>
    <w:p>
      <w:pPr>
        <w:tabs>
          <w:tab w:val="left" w:pos="180"/>
          <w:tab w:val="left" w:pos="945"/>
        </w:tabs>
        <w:spacing w:line="360" w:lineRule="auto"/>
        <w:rPr>
          <w:rFonts w:hint="eastAsia" w:ascii="仿宋" w:hAnsi="仿宋" w:eastAsia="仿宋" w:cs="仿宋"/>
          <w:b w:val="0"/>
          <w:bCs w:val="0"/>
          <w:color w:val="auto"/>
          <w:sz w:val="24"/>
          <w:lang w:val="en-US" w:eastAsia="zh-CN"/>
        </w:rPr>
      </w:pPr>
      <w:r>
        <w:rPr>
          <w:rFonts w:hint="eastAsia" w:ascii="仿宋" w:hAnsi="仿宋" w:eastAsia="仿宋" w:cs="仿宋"/>
          <w:b w:val="0"/>
          <w:bCs w:val="0"/>
          <w:color w:val="auto"/>
          <w:sz w:val="24"/>
          <w:lang w:val="en-US" w:eastAsia="zh-CN"/>
        </w:rPr>
        <w:t>2.1书香酒店投资管理集团设计标准手册分为：书香酒店设计指导手册（府邸、世家、门第、心泊）和书香工程施工工艺标准手册两个分册</w:t>
      </w:r>
    </w:p>
    <w:p>
      <w:pPr>
        <w:tabs>
          <w:tab w:val="left" w:pos="180"/>
          <w:tab w:val="left" w:pos="945"/>
        </w:tabs>
        <w:spacing w:line="360" w:lineRule="auto"/>
        <w:rPr>
          <w:rFonts w:hint="eastAsia" w:ascii="仿宋" w:hAnsi="仿宋" w:eastAsia="仿宋" w:cs="仿宋"/>
          <w:color w:val="000000"/>
          <w:sz w:val="24"/>
          <w:lang w:val="en-US" w:eastAsia="zh-CN"/>
        </w:rPr>
      </w:pPr>
      <w:r>
        <w:rPr>
          <w:rFonts w:hint="eastAsia" w:ascii="仿宋" w:hAnsi="仿宋" w:eastAsia="仿宋" w:cs="仿宋"/>
          <w:b/>
          <w:bCs/>
          <w:color w:val="auto"/>
          <w:sz w:val="24"/>
          <w:lang w:val="en-US" w:eastAsia="zh-CN"/>
        </w:rPr>
        <w:t>2.2</w:t>
      </w:r>
      <w:r>
        <w:rPr>
          <w:rFonts w:hint="eastAsia" w:ascii="仿宋" w:hAnsi="仿宋" w:eastAsia="仿宋" w:cs="仿宋"/>
          <w:color w:val="auto"/>
          <w:sz w:val="24"/>
          <w:lang w:val="en-US" w:eastAsia="zh-CN"/>
        </w:rPr>
        <w:t>书香酒店设计标准手册：包括但不限于以下内容（具体可根据中标方理念与发包方</w:t>
      </w:r>
      <w:r>
        <w:rPr>
          <w:rFonts w:hint="eastAsia" w:ascii="仿宋" w:hAnsi="仿宋" w:eastAsia="仿宋" w:cs="仿宋"/>
          <w:color w:val="000000"/>
          <w:sz w:val="24"/>
          <w:lang w:val="en-US" w:eastAsia="zh-CN"/>
        </w:rPr>
        <w:t>协商确定）：</w:t>
      </w:r>
    </w:p>
    <w:p>
      <w:pPr>
        <w:numPr>
          <w:ilvl w:val="0"/>
          <w:numId w:val="0"/>
        </w:numPr>
        <w:tabs>
          <w:tab w:val="left" w:pos="180"/>
          <w:tab w:val="left" w:pos="945"/>
        </w:tabs>
        <w:spacing w:line="360" w:lineRule="auto"/>
        <w:rPr>
          <w:rFonts w:hint="eastAsia" w:ascii="仿宋" w:hAnsi="仿宋" w:eastAsia="仿宋" w:cs="仿宋"/>
          <w:color w:val="000000"/>
          <w:sz w:val="24"/>
          <w:lang w:val="en-US" w:eastAsia="zh-CN"/>
        </w:rPr>
      </w:pPr>
      <w:r>
        <w:rPr>
          <w:rFonts w:hint="eastAsia" w:ascii="仿宋" w:hAnsi="仿宋" w:eastAsia="仿宋" w:cs="仿宋"/>
          <w:b/>
          <w:bCs/>
          <w:color w:val="000000"/>
          <w:sz w:val="24"/>
          <w:lang w:val="en-US" w:eastAsia="zh-CN"/>
        </w:rPr>
        <w:t>2.2.1</w:t>
      </w:r>
      <w:r>
        <w:rPr>
          <w:rFonts w:hint="eastAsia" w:ascii="仿宋" w:hAnsi="仿宋" w:eastAsia="仿宋" w:cs="仿宋"/>
          <w:color w:val="000000"/>
          <w:sz w:val="24"/>
          <w:lang w:val="en-US" w:eastAsia="zh-CN"/>
        </w:rPr>
        <w:t>书香品牌概述及加盟物业的基本条件</w:t>
      </w:r>
    </w:p>
    <w:p>
      <w:pPr>
        <w:numPr>
          <w:ilvl w:val="0"/>
          <w:numId w:val="0"/>
        </w:numPr>
        <w:tabs>
          <w:tab w:val="left" w:pos="180"/>
          <w:tab w:val="left" w:pos="945"/>
        </w:tabs>
        <w:spacing w:line="360" w:lineRule="auto"/>
        <w:rPr>
          <w:rFonts w:hint="eastAsia" w:ascii="仿宋" w:hAnsi="仿宋" w:eastAsia="仿宋" w:cs="仿宋"/>
          <w:color w:val="000000"/>
          <w:sz w:val="24"/>
          <w:lang w:val="en-US" w:eastAsia="zh-CN"/>
        </w:rPr>
      </w:pPr>
      <w:r>
        <w:rPr>
          <w:rFonts w:hint="eastAsia" w:ascii="仿宋" w:hAnsi="仿宋" w:eastAsia="仿宋" w:cs="仿宋"/>
          <w:b/>
          <w:bCs/>
          <w:color w:val="000000"/>
          <w:sz w:val="24"/>
          <w:lang w:val="en-US" w:eastAsia="zh-CN"/>
        </w:rPr>
        <w:t>2.2.2</w:t>
      </w:r>
      <w:r>
        <w:rPr>
          <w:rFonts w:hint="eastAsia" w:ascii="仿宋" w:hAnsi="仿宋" w:eastAsia="仿宋" w:cs="仿宋"/>
          <w:color w:val="000000"/>
          <w:sz w:val="24"/>
          <w:lang w:val="en-US" w:eastAsia="zh-CN"/>
        </w:rPr>
        <w:t>书香世家的设计理念与设计风格</w:t>
      </w:r>
    </w:p>
    <w:p>
      <w:pPr>
        <w:numPr>
          <w:ilvl w:val="0"/>
          <w:numId w:val="0"/>
        </w:numPr>
        <w:tabs>
          <w:tab w:val="left" w:pos="180"/>
          <w:tab w:val="left" w:pos="945"/>
        </w:tabs>
        <w:spacing w:line="360" w:lineRule="auto"/>
        <w:rPr>
          <w:rFonts w:hint="eastAsia" w:ascii="仿宋" w:hAnsi="仿宋" w:eastAsia="仿宋" w:cs="仿宋"/>
          <w:color w:val="000000"/>
          <w:sz w:val="24"/>
          <w:lang w:val="en-US" w:eastAsia="zh-CN"/>
        </w:rPr>
      </w:pPr>
      <w:r>
        <w:rPr>
          <w:rFonts w:hint="eastAsia" w:ascii="仿宋" w:hAnsi="仿宋" w:eastAsia="仿宋" w:cs="仿宋"/>
          <w:b/>
          <w:bCs/>
          <w:color w:val="000000"/>
          <w:sz w:val="24"/>
          <w:lang w:val="en-US" w:eastAsia="zh-CN"/>
        </w:rPr>
        <w:t>2.2.3</w:t>
      </w:r>
      <w:r>
        <w:rPr>
          <w:rFonts w:hint="eastAsia" w:ascii="仿宋" w:hAnsi="仿宋" w:eastAsia="仿宋" w:cs="仿宋"/>
          <w:color w:val="000000"/>
          <w:sz w:val="24"/>
          <w:lang w:val="en-US" w:eastAsia="zh-CN"/>
        </w:rPr>
        <w:t>书香世家各功能区设计红线（各功能区最低面积需求）</w:t>
      </w:r>
    </w:p>
    <w:p>
      <w:pPr>
        <w:numPr>
          <w:ilvl w:val="0"/>
          <w:numId w:val="0"/>
        </w:numPr>
        <w:tabs>
          <w:tab w:val="left" w:pos="180"/>
          <w:tab w:val="left" w:pos="945"/>
        </w:tabs>
        <w:spacing w:line="360" w:lineRule="auto"/>
        <w:rPr>
          <w:rFonts w:hint="eastAsia" w:ascii="仿宋" w:hAnsi="仿宋" w:eastAsia="仿宋" w:cs="仿宋"/>
          <w:color w:val="000000"/>
          <w:sz w:val="24"/>
          <w:lang w:val="en-US" w:eastAsia="zh-CN"/>
        </w:rPr>
      </w:pPr>
      <w:r>
        <w:rPr>
          <w:rFonts w:hint="eastAsia" w:ascii="仿宋" w:hAnsi="仿宋" w:eastAsia="仿宋" w:cs="仿宋"/>
          <w:b/>
          <w:bCs/>
          <w:color w:val="000000"/>
          <w:sz w:val="24"/>
          <w:lang w:val="en-US" w:eastAsia="zh-CN"/>
        </w:rPr>
        <w:t>2.2.4</w:t>
      </w:r>
      <w:r>
        <w:rPr>
          <w:rFonts w:hint="eastAsia" w:ascii="仿宋" w:hAnsi="仿宋" w:eastAsia="仿宋" w:cs="仿宋"/>
          <w:color w:val="000000"/>
          <w:sz w:val="24"/>
          <w:lang w:val="en-US" w:eastAsia="zh-CN"/>
        </w:rPr>
        <w:t>不同物业规模下功能配置需求</w:t>
      </w:r>
    </w:p>
    <w:p>
      <w:pPr>
        <w:numPr>
          <w:ilvl w:val="0"/>
          <w:numId w:val="0"/>
        </w:numPr>
        <w:tabs>
          <w:tab w:val="left" w:pos="180"/>
          <w:tab w:val="left" w:pos="945"/>
        </w:tabs>
        <w:spacing w:line="360" w:lineRule="auto"/>
        <w:rPr>
          <w:rFonts w:hint="eastAsia" w:ascii="仿宋" w:hAnsi="仿宋" w:eastAsia="仿宋" w:cs="仿宋"/>
          <w:color w:val="auto"/>
          <w:sz w:val="24"/>
          <w:lang w:val="en-US" w:eastAsia="zh-CN"/>
        </w:rPr>
      </w:pPr>
      <w:r>
        <w:rPr>
          <w:rFonts w:hint="eastAsia" w:ascii="仿宋" w:hAnsi="仿宋" w:eastAsia="仿宋" w:cs="仿宋"/>
          <w:b/>
          <w:bCs/>
          <w:color w:val="000000"/>
          <w:sz w:val="24"/>
          <w:lang w:val="en-US" w:eastAsia="zh-CN"/>
        </w:rPr>
        <w:t>2.2.5</w:t>
      </w:r>
      <w:r>
        <w:rPr>
          <w:rFonts w:hint="eastAsia" w:ascii="仿宋" w:hAnsi="仿宋" w:eastAsia="仿宋" w:cs="仿宋"/>
          <w:color w:val="000000"/>
          <w:sz w:val="24"/>
          <w:lang w:val="en-US" w:eastAsia="zh-CN"/>
        </w:rPr>
        <w:t>书香酒店系列（分重餐饮、轻餐饮两种情况）酒店平面布局规划及具体要求（以1万平物业为例，提供2-3套不同规划图例及相关效果图、最小面积需求等），分以下</w:t>
      </w:r>
      <w:r>
        <w:rPr>
          <w:rFonts w:hint="eastAsia" w:ascii="仿宋" w:hAnsi="仿宋" w:eastAsia="仿宋" w:cs="仿宋"/>
          <w:color w:val="auto"/>
          <w:sz w:val="24"/>
          <w:lang w:val="en-US" w:eastAsia="zh-CN"/>
        </w:rPr>
        <w:t>几个功能块分别描述：</w:t>
      </w:r>
    </w:p>
    <w:p>
      <w:pPr>
        <w:numPr>
          <w:ilvl w:val="0"/>
          <w:numId w:val="0"/>
        </w:numPr>
        <w:tabs>
          <w:tab w:val="left" w:pos="180"/>
          <w:tab w:val="left" w:pos="945"/>
        </w:tabs>
        <w:spacing w:line="360" w:lineRule="auto"/>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1、书香世家酒店设计标准概述</w:t>
      </w:r>
    </w:p>
    <w:p>
      <w:pPr>
        <w:numPr>
          <w:ilvl w:val="0"/>
          <w:numId w:val="7"/>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室内设计</w:t>
      </w:r>
    </w:p>
    <w:p>
      <w:pPr>
        <w:numPr>
          <w:ilvl w:val="0"/>
          <w:numId w:val="7"/>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设计标准</w:t>
      </w:r>
    </w:p>
    <w:p>
      <w:pPr>
        <w:numPr>
          <w:ilvl w:val="0"/>
          <w:numId w:val="7"/>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项目应用</w:t>
      </w:r>
    </w:p>
    <w:p>
      <w:pPr>
        <w:numPr>
          <w:ilvl w:val="0"/>
          <w:numId w:val="7"/>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解释</w:t>
      </w:r>
    </w:p>
    <w:p>
      <w:pPr>
        <w:numPr>
          <w:ilvl w:val="0"/>
          <w:numId w:val="7"/>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无障碍设计</w:t>
      </w:r>
    </w:p>
    <w:p>
      <w:pPr>
        <w:numPr>
          <w:ilvl w:val="0"/>
          <w:numId w:val="7"/>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绿色及环保设计</w:t>
      </w:r>
    </w:p>
    <w:p>
      <w:pPr>
        <w:numPr>
          <w:ilvl w:val="0"/>
          <w:numId w:val="7"/>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设计准备</w:t>
      </w:r>
    </w:p>
    <w:p>
      <w:pPr>
        <w:numPr>
          <w:ilvl w:val="0"/>
          <w:numId w:val="0"/>
        </w:numPr>
        <w:tabs>
          <w:tab w:val="left" w:pos="180"/>
          <w:tab w:val="left" w:pos="945"/>
        </w:tabs>
        <w:spacing w:line="360" w:lineRule="auto"/>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2、书香世家现场与建筑外部规划及设计</w:t>
      </w:r>
    </w:p>
    <w:p>
      <w:pPr>
        <w:numPr>
          <w:ilvl w:val="0"/>
          <w:numId w:val="8"/>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现场共用设施</w:t>
      </w:r>
    </w:p>
    <w:p>
      <w:pPr>
        <w:numPr>
          <w:ilvl w:val="0"/>
          <w:numId w:val="8"/>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交通和规划</w:t>
      </w:r>
    </w:p>
    <w:p>
      <w:pPr>
        <w:numPr>
          <w:ilvl w:val="0"/>
          <w:numId w:val="8"/>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现场主入口</w:t>
      </w:r>
    </w:p>
    <w:p>
      <w:pPr>
        <w:numPr>
          <w:ilvl w:val="0"/>
          <w:numId w:val="8"/>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现场货物入口</w:t>
      </w:r>
    </w:p>
    <w:p>
      <w:pPr>
        <w:numPr>
          <w:ilvl w:val="0"/>
          <w:numId w:val="8"/>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停车区域</w:t>
      </w:r>
    </w:p>
    <w:p>
      <w:pPr>
        <w:numPr>
          <w:ilvl w:val="0"/>
          <w:numId w:val="8"/>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停车库</w:t>
      </w:r>
    </w:p>
    <w:p>
      <w:pPr>
        <w:numPr>
          <w:ilvl w:val="0"/>
          <w:numId w:val="8"/>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景观</w:t>
      </w:r>
    </w:p>
    <w:p>
      <w:pPr>
        <w:numPr>
          <w:ilvl w:val="0"/>
          <w:numId w:val="8"/>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噪音水平</w:t>
      </w:r>
    </w:p>
    <w:p>
      <w:pPr>
        <w:numPr>
          <w:ilvl w:val="0"/>
          <w:numId w:val="0"/>
        </w:numPr>
        <w:tabs>
          <w:tab w:val="left" w:pos="180"/>
          <w:tab w:val="left" w:pos="945"/>
        </w:tabs>
        <w:spacing w:line="360" w:lineRule="auto"/>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3、书香世家前厅的规划及设计</w:t>
      </w:r>
    </w:p>
    <w:p>
      <w:pPr>
        <w:numPr>
          <w:ilvl w:val="0"/>
          <w:numId w:val="9"/>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前厅的功能</w:t>
      </w:r>
    </w:p>
    <w:p>
      <w:pPr>
        <w:numPr>
          <w:ilvl w:val="0"/>
          <w:numId w:val="9"/>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前厅的规划</w:t>
      </w:r>
    </w:p>
    <w:p>
      <w:pPr>
        <w:numPr>
          <w:ilvl w:val="0"/>
          <w:numId w:val="9"/>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商务中心</w:t>
      </w:r>
    </w:p>
    <w:p>
      <w:pPr>
        <w:numPr>
          <w:ilvl w:val="0"/>
          <w:numId w:val="0"/>
        </w:numPr>
        <w:tabs>
          <w:tab w:val="left" w:pos="180"/>
          <w:tab w:val="left" w:pos="945"/>
        </w:tabs>
        <w:spacing w:line="360" w:lineRule="auto"/>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4、书香世家客房的规划及设计</w:t>
      </w:r>
    </w:p>
    <w:p>
      <w:pPr>
        <w:numPr>
          <w:ilvl w:val="0"/>
          <w:numId w:val="10"/>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客房的规模和类型</w:t>
      </w:r>
    </w:p>
    <w:p>
      <w:pPr>
        <w:numPr>
          <w:ilvl w:val="0"/>
          <w:numId w:val="10"/>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客房走廊及后台区域</w:t>
      </w:r>
    </w:p>
    <w:p>
      <w:pPr>
        <w:numPr>
          <w:ilvl w:val="0"/>
          <w:numId w:val="10"/>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行政楼层</w:t>
      </w:r>
    </w:p>
    <w:p>
      <w:pPr>
        <w:numPr>
          <w:ilvl w:val="0"/>
          <w:numId w:val="0"/>
        </w:numPr>
        <w:tabs>
          <w:tab w:val="left" w:pos="180"/>
          <w:tab w:val="left" w:pos="945"/>
        </w:tabs>
        <w:spacing w:line="360" w:lineRule="auto"/>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5、书香世家餐饮服务区的规划及设计</w:t>
      </w:r>
    </w:p>
    <w:p>
      <w:pPr>
        <w:numPr>
          <w:ilvl w:val="0"/>
          <w:numId w:val="11"/>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餐厅规模和类型</w:t>
      </w:r>
    </w:p>
    <w:p>
      <w:pPr>
        <w:numPr>
          <w:ilvl w:val="0"/>
          <w:numId w:val="11"/>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餐座形式及面积指标</w:t>
      </w:r>
    </w:p>
    <w:p>
      <w:pPr>
        <w:numPr>
          <w:ilvl w:val="0"/>
          <w:numId w:val="11"/>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大堂吧</w:t>
      </w:r>
    </w:p>
    <w:p>
      <w:pPr>
        <w:numPr>
          <w:ilvl w:val="0"/>
          <w:numId w:val="11"/>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全日餐厅</w:t>
      </w:r>
    </w:p>
    <w:p>
      <w:pPr>
        <w:numPr>
          <w:ilvl w:val="0"/>
          <w:numId w:val="11"/>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零点中餐厅</w:t>
      </w:r>
    </w:p>
    <w:p>
      <w:pPr>
        <w:numPr>
          <w:ilvl w:val="0"/>
          <w:numId w:val="11"/>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中餐包厢</w:t>
      </w:r>
    </w:p>
    <w:p>
      <w:pPr>
        <w:numPr>
          <w:ilvl w:val="0"/>
          <w:numId w:val="11"/>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特色餐厅</w:t>
      </w:r>
    </w:p>
    <w:p>
      <w:pPr>
        <w:numPr>
          <w:ilvl w:val="0"/>
          <w:numId w:val="0"/>
        </w:numPr>
        <w:tabs>
          <w:tab w:val="left" w:pos="180"/>
          <w:tab w:val="left" w:pos="945"/>
        </w:tabs>
        <w:spacing w:line="360" w:lineRule="auto"/>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6、书香世家宴会与会议区域规划及设计</w:t>
      </w:r>
    </w:p>
    <w:p>
      <w:pPr>
        <w:numPr>
          <w:ilvl w:val="0"/>
          <w:numId w:val="12"/>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宴会厅（多功能厅）</w:t>
      </w:r>
    </w:p>
    <w:p>
      <w:pPr>
        <w:numPr>
          <w:ilvl w:val="0"/>
          <w:numId w:val="12"/>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会议室</w:t>
      </w:r>
    </w:p>
    <w:p>
      <w:pPr>
        <w:numPr>
          <w:ilvl w:val="0"/>
          <w:numId w:val="12"/>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公共卫生间</w:t>
      </w:r>
    </w:p>
    <w:p>
      <w:pPr>
        <w:numPr>
          <w:ilvl w:val="0"/>
          <w:numId w:val="0"/>
        </w:numPr>
        <w:tabs>
          <w:tab w:val="left" w:pos="180"/>
          <w:tab w:val="left" w:pos="945"/>
        </w:tabs>
        <w:spacing w:line="360" w:lineRule="auto"/>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7、书香世家行政与后勤区域规划及设计</w:t>
      </w:r>
    </w:p>
    <w:p>
      <w:pPr>
        <w:numPr>
          <w:ilvl w:val="0"/>
          <w:numId w:val="13"/>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员工区域</w:t>
      </w:r>
    </w:p>
    <w:p>
      <w:pPr>
        <w:numPr>
          <w:ilvl w:val="0"/>
          <w:numId w:val="13"/>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行政办公区域</w:t>
      </w:r>
    </w:p>
    <w:p>
      <w:pPr>
        <w:numPr>
          <w:ilvl w:val="0"/>
          <w:numId w:val="13"/>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总仓库</w:t>
      </w:r>
    </w:p>
    <w:p>
      <w:pPr>
        <w:numPr>
          <w:ilvl w:val="0"/>
          <w:numId w:val="13"/>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房务二级仓库（可选）</w:t>
      </w:r>
    </w:p>
    <w:p>
      <w:pPr>
        <w:numPr>
          <w:ilvl w:val="0"/>
          <w:numId w:val="13"/>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客房服务中心</w:t>
      </w:r>
    </w:p>
    <w:p>
      <w:pPr>
        <w:numPr>
          <w:ilvl w:val="0"/>
          <w:numId w:val="13"/>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工程及维护</w:t>
      </w:r>
    </w:p>
    <w:p>
      <w:pPr>
        <w:numPr>
          <w:ilvl w:val="0"/>
          <w:numId w:val="13"/>
        </w:numPr>
        <w:tabs>
          <w:tab w:val="left" w:pos="180"/>
          <w:tab w:val="left" w:pos="945"/>
        </w:tabs>
        <w:spacing w:line="360" w:lineRule="auto"/>
        <w:ind w:left="845" w:leftChars="0" w:hanging="425"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其他后勤工作间</w:t>
      </w:r>
    </w:p>
    <w:p>
      <w:pPr>
        <w:numPr>
          <w:ilvl w:val="0"/>
          <w:numId w:val="0"/>
        </w:numPr>
        <w:tabs>
          <w:tab w:val="left" w:pos="180"/>
          <w:tab w:val="left" w:pos="945"/>
        </w:tabs>
        <w:spacing w:line="360" w:lineRule="auto"/>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8、酒店机电系统</w:t>
      </w:r>
    </w:p>
    <w:p>
      <w:pPr>
        <w:numPr>
          <w:ilvl w:val="0"/>
          <w:numId w:val="14"/>
        </w:numPr>
        <w:tabs>
          <w:tab w:val="left" w:pos="180"/>
          <w:tab w:val="left" w:pos="945"/>
        </w:tabs>
        <w:spacing w:line="360" w:lineRule="auto"/>
        <w:ind w:left="845" w:leftChars="0" w:hanging="425" w:firstLineChars="0"/>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酒店给排水系统设计原则及要求</w:t>
      </w:r>
    </w:p>
    <w:p>
      <w:pPr>
        <w:numPr>
          <w:ilvl w:val="0"/>
          <w:numId w:val="14"/>
        </w:numPr>
        <w:tabs>
          <w:tab w:val="left" w:pos="180"/>
          <w:tab w:val="left" w:pos="945"/>
        </w:tabs>
        <w:spacing w:line="360" w:lineRule="auto"/>
        <w:ind w:left="845" w:leftChars="0" w:hanging="425" w:firstLineChars="0"/>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酒店空调系统设计原则及要求：各区域空调温度要求、新风系统要求</w:t>
      </w:r>
    </w:p>
    <w:p>
      <w:pPr>
        <w:numPr>
          <w:ilvl w:val="0"/>
          <w:numId w:val="14"/>
        </w:numPr>
        <w:tabs>
          <w:tab w:val="left" w:pos="180"/>
          <w:tab w:val="left" w:pos="945"/>
        </w:tabs>
        <w:spacing w:line="360" w:lineRule="auto"/>
        <w:ind w:left="845" w:leftChars="0" w:hanging="425" w:firstLineChars="0"/>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酒店电气安工程设计原则及要求：</w:t>
      </w:r>
      <w:r>
        <w:rPr>
          <w:rFonts w:hint="eastAsia" w:ascii="仿宋" w:hAnsi="仿宋" w:eastAsia="仿宋" w:cs="仿宋"/>
          <w:sz w:val="24"/>
          <w:szCs w:val="24"/>
          <w:lang w:val="en-US" w:eastAsia="zh-CN"/>
        </w:rPr>
        <w:t>酒店各功能区负荷密度要求、酒店电负荷等级要求、客房标准电气配置图、酒店公区插座数量配置要求等</w:t>
      </w:r>
    </w:p>
    <w:p>
      <w:pPr>
        <w:numPr>
          <w:ilvl w:val="0"/>
          <w:numId w:val="14"/>
        </w:numPr>
        <w:tabs>
          <w:tab w:val="left" w:pos="180"/>
          <w:tab w:val="left" w:pos="945"/>
        </w:tabs>
        <w:spacing w:line="360" w:lineRule="auto"/>
        <w:ind w:left="845" w:leftChars="0" w:hanging="425" w:firstLineChars="0"/>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酒店弱电系统设计原则及要求：网络系统、电视电话系统、视频监控系统、会议音响系统、各类计算机管理系统、电子门锁系统、门禁系统</w:t>
      </w:r>
    </w:p>
    <w:p>
      <w:pPr>
        <w:numPr>
          <w:ilvl w:val="0"/>
          <w:numId w:val="14"/>
        </w:numPr>
        <w:tabs>
          <w:tab w:val="left" w:pos="180"/>
          <w:tab w:val="left" w:pos="945"/>
        </w:tabs>
        <w:spacing w:line="360" w:lineRule="auto"/>
        <w:ind w:left="845" w:leftChars="0" w:hanging="425" w:firstLineChars="0"/>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酒店消防系统（如无特殊要求，此部分可以按国家最新规范要求执行）</w:t>
      </w:r>
    </w:p>
    <w:p>
      <w:pPr>
        <w:numPr>
          <w:ilvl w:val="0"/>
          <w:numId w:val="0"/>
        </w:numPr>
        <w:tabs>
          <w:tab w:val="left" w:pos="180"/>
          <w:tab w:val="left" w:pos="945"/>
        </w:tabs>
        <w:spacing w:line="360" w:lineRule="auto"/>
        <w:rPr>
          <w:rFonts w:hint="eastAsia" w:ascii="仿宋" w:hAnsi="仿宋" w:eastAsia="仿宋" w:cs="仿宋"/>
          <w:color w:val="000000"/>
          <w:sz w:val="24"/>
          <w:lang w:val="en-US" w:eastAsia="zh-CN"/>
        </w:rPr>
      </w:pPr>
      <w:r>
        <w:rPr>
          <w:rFonts w:hint="eastAsia" w:ascii="仿宋" w:hAnsi="仿宋" w:eastAsia="仿宋" w:cs="仿宋"/>
          <w:b/>
          <w:bCs/>
          <w:color w:val="000000"/>
          <w:sz w:val="24"/>
          <w:lang w:val="en-US" w:eastAsia="zh-CN"/>
        </w:rPr>
        <w:t>2.3</w:t>
      </w:r>
      <w:r>
        <w:rPr>
          <w:rFonts w:hint="eastAsia" w:ascii="仿宋" w:hAnsi="仿宋" w:eastAsia="仿宋" w:cs="仿宋"/>
          <w:color w:val="000000"/>
          <w:sz w:val="24"/>
          <w:lang w:val="en-US" w:eastAsia="zh-CN"/>
        </w:rPr>
        <w:t>书香工程施工工艺标准手册：包括但不限于以下内容（具体可根据中标方理念与发包方协商确定）</w:t>
      </w:r>
    </w:p>
    <w:p>
      <w:pPr>
        <w:numPr>
          <w:ilvl w:val="0"/>
          <w:numId w:val="0"/>
        </w:numPr>
        <w:tabs>
          <w:tab w:val="left" w:pos="180"/>
          <w:tab w:val="left" w:pos="945"/>
        </w:tabs>
        <w:spacing w:line="360" w:lineRule="auto"/>
        <w:rPr>
          <w:rFonts w:hint="eastAsia" w:ascii="仿宋" w:hAnsi="仿宋" w:eastAsia="仿宋" w:cs="仿宋"/>
          <w:color w:val="000000"/>
          <w:sz w:val="24"/>
          <w:lang w:val="en-US" w:eastAsia="zh-CN"/>
        </w:rPr>
      </w:pPr>
      <w:r>
        <w:rPr>
          <w:rFonts w:hint="eastAsia" w:ascii="仿宋" w:hAnsi="仿宋" w:eastAsia="仿宋" w:cs="仿宋"/>
          <w:b/>
          <w:bCs/>
          <w:color w:val="000000"/>
          <w:sz w:val="24"/>
          <w:lang w:val="en-US" w:eastAsia="zh-CN"/>
        </w:rPr>
        <w:t>2.3.1</w:t>
      </w:r>
      <w:r>
        <w:rPr>
          <w:rFonts w:hint="eastAsia" w:ascii="仿宋" w:hAnsi="仿宋" w:eastAsia="仿宋" w:cs="仿宋"/>
          <w:color w:val="000000"/>
          <w:sz w:val="24"/>
          <w:lang w:val="en-US" w:eastAsia="zh-CN"/>
        </w:rPr>
        <w:t>主要装饰材料选型或品牌要求</w:t>
      </w:r>
    </w:p>
    <w:p>
      <w:pPr>
        <w:numPr>
          <w:ilvl w:val="0"/>
          <w:numId w:val="0"/>
        </w:numPr>
        <w:tabs>
          <w:tab w:val="left" w:pos="180"/>
          <w:tab w:val="left" w:pos="945"/>
        </w:tabs>
        <w:spacing w:line="360" w:lineRule="auto"/>
        <w:rPr>
          <w:rFonts w:hint="eastAsia" w:ascii="仿宋" w:hAnsi="仿宋" w:eastAsia="仿宋" w:cs="仿宋"/>
          <w:color w:val="000000"/>
          <w:sz w:val="24"/>
          <w:lang w:val="en-US" w:eastAsia="zh-CN"/>
        </w:rPr>
      </w:pPr>
      <w:r>
        <w:rPr>
          <w:rFonts w:hint="eastAsia" w:ascii="仿宋" w:hAnsi="仿宋" w:eastAsia="仿宋" w:cs="仿宋"/>
          <w:b/>
          <w:bCs/>
          <w:color w:val="000000"/>
          <w:sz w:val="24"/>
          <w:lang w:val="en-US" w:eastAsia="zh-CN"/>
        </w:rPr>
        <w:t>2.3.2</w:t>
      </w:r>
      <w:r>
        <w:rPr>
          <w:rFonts w:hint="eastAsia" w:ascii="仿宋" w:hAnsi="仿宋" w:eastAsia="仿宋" w:cs="仿宋"/>
          <w:color w:val="000000"/>
          <w:sz w:val="24"/>
          <w:lang w:val="en-US" w:eastAsia="zh-CN"/>
        </w:rPr>
        <w:t>关键施工环节的施工方案措施（噪声及隔音处理方案、卫生间及厨房防水处理方案、下水道防臭处理方案等）</w:t>
      </w:r>
    </w:p>
    <w:p>
      <w:pPr>
        <w:numPr>
          <w:ilvl w:val="0"/>
          <w:numId w:val="0"/>
        </w:numPr>
        <w:tabs>
          <w:tab w:val="left" w:pos="180"/>
          <w:tab w:val="left" w:pos="945"/>
        </w:tabs>
        <w:spacing w:line="360" w:lineRule="auto"/>
        <w:ind w:leftChars="0"/>
        <w:rPr>
          <w:rFonts w:hint="eastAsia" w:ascii="仿宋" w:hAnsi="仿宋" w:eastAsia="仿宋" w:cs="仿宋"/>
          <w:color w:val="000000"/>
          <w:sz w:val="24"/>
          <w:lang w:val="en-US" w:eastAsia="zh-CN"/>
        </w:rPr>
      </w:pPr>
      <w:r>
        <w:rPr>
          <w:rFonts w:hint="eastAsia" w:ascii="仿宋" w:hAnsi="仿宋" w:eastAsia="仿宋" w:cs="仿宋"/>
          <w:b/>
          <w:bCs/>
          <w:color w:val="000000"/>
          <w:sz w:val="24"/>
          <w:lang w:val="en-US" w:eastAsia="zh-CN"/>
        </w:rPr>
        <w:t>2.3.3</w:t>
      </w:r>
      <w:r>
        <w:rPr>
          <w:rFonts w:hint="eastAsia" w:ascii="仿宋" w:hAnsi="仿宋" w:eastAsia="仿宋" w:cs="仿宋"/>
          <w:color w:val="000000"/>
          <w:sz w:val="24"/>
          <w:lang w:val="en-US" w:eastAsia="zh-CN"/>
        </w:rPr>
        <w:t>主要节点施工工艺做法（提供一些通用的节点施工图，如客房卫生间装饰施工节点、卫生间墙体砌筑施工节点、机电设备安装节点等）</w:t>
      </w:r>
    </w:p>
    <w:p>
      <w:pPr>
        <w:pStyle w:val="1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78" w:lineRule="atLeast"/>
        <w:ind w:right="0"/>
        <w:rPr>
          <w:rFonts w:hint="eastAsia" w:ascii="宋体" w:hAnsi="宋体" w:eastAsia="宋体" w:cs="宋体"/>
          <w:i w:val="0"/>
          <w:sz w:val="24"/>
          <w:szCs w:val="24"/>
          <w:lang w:val="en-US" w:eastAsia="zh-CN"/>
        </w:rPr>
      </w:pPr>
      <w:r>
        <w:rPr>
          <w:rFonts w:hint="eastAsia" w:ascii="宋体" w:hAnsi="宋体" w:eastAsia="宋体" w:cs="宋体"/>
          <w:b/>
          <w:bCs/>
          <w:kern w:val="2"/>
          <w:sz w:val="24"/>
          <w:szCs w:val="24"/>
          <w:lang w:val="en-US" w:eastAsia="zh-CN" w:bidi="ar-SA"/>
        </w:rPr>
        <w:t>3、</w:t>
      </w:r>
      <w:r>
        <w:rPr>
          <w:rFonts w:hint="eastAsia" w:ascii="宋体" w:hAnsi="宋体" w:eastAsia="宋体" w:cs="宋体"/>
          <w:b/>
          <w:bCs/>
          <w:color w:val="000000"/>
          <w:sz w:val="24"/>
          <w:lang w:eastAsia="zh-CN"/>
        </w:rPr>
        <w:t>编纂深度要求</w:t>
      </w:r>
    </w:p>
    <w:p>
      <w:pPr>
        <w:pStyle w:val="19"/>
        <w:keepNext w:val="0"/>
        <w:keepLines w:val="0"/>
        <w:widowControl/>
        <w:numPr>
          <w:ilvl w:val="0"/>
          <w:numId w:val="15"/>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425" w:leftChars="0" w:right="0" w:hanging="425" w:firstLineChars="0"/>
        <w:rPr>
          <w:rFonts w:hint="eastAsia" w:ascii="仿宋" w:hAnsi="仿宋" w:eastAsia="仿宋" w:cs="仿宋"/>
          <w:kern w:val="2"/>
          <w:sz w:val="24"/>
          <w:szCs w:val="24"/>
          <w:highlight w:val="none"/>
          <w:lang w:val="en-US" w:eastAsia="zh-CN" w:bidi="ar-SA"/>
        </w:rPr>
      </w:pPr>
      <w:r>
        <w:rPr>
          <w:rFonts w:hint="eastAsia" w:ascii="仿宋" w:hAnsi="仿宋" w:eastAsia="仿宋" w:cs="仿宋"/>
          <w:highlight w:val="none"/>
          <w:lang w:val="en-US" w:eastAsia="zh-CN"/>
        </w:rPr>
        <w:t xml:space="preserve">与书香领导层充分沟通，理解书香经营理念及设计风格  </w:t>
      </w:r>
    </w:p>
    <w:p>
      <w:pPr>
        <w:pStyle w:val="19"/>
        <w:keepNext w:val="0"/>
        <w:keepLines w:val="0"/>
        <w:widowControl/>
        <w:numPr>
          <w:ilvl w:val="0"/>
          <w:numId w:val="15"/>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425" w:leftChars="0" w:right="0" w:hanging="425" w:firstLineChars="0"/>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所有手册要求文字简练、恰当，符合国家规范要求</w:t>
      </w:r>
    </w:p>
    <w:p>
      <w:pPr>
        <w:pStyle w:val="19"/>
        <w:keepNext w:val="0"/>
        <w:keepLines w:val="0"/>
        <w:widowControl/>
        <w:numPr>
          <w:ilvl w:val="0"/>
          <w:numId w:val="15"/>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425" w:leftChars="0" w:right="0" w:hanging="425" w:firstLineChars="0"/>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图文并茂，除文字说明外，需要配置相关设计简图、效果图等</w:t>
      </w:r>
    </w:p>
    <w:p>
      <w:pPr>
        <w:pStyle w:val="19"/>
        <w:keepNext w:val="0"/>
        <w:keepLines w:val="0"/>
        <w:widowControl/>
        <w:numPr>
          <w:ilvl w:val="0"/>
          <w:numId w:val="15"/>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425" w:leftChars="0" w:right="0" w:hanging="425" w:firstLineChars="0"/>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编纂初稿经发包方审核无误后，印刷成册交付（设计成果交付：可编辑电子一份、不可编辑电子档（PDF）一份；印刷成册纸质版10本）</w:t>
      </w:r>
    </w:p>
    <w:p>
      <w:pPr>
        <w:tabs>
          <w:tab w:val="left" w:pos="180"/>
          <w:tab w:val="left" w:pos="945"/>
        </w:tabs>
        <w:spacing w:line="360" w:lineRule="auto"/>
        <w:rPr>
          <w:rFonts w:hint="eastAsia" w:ascii="宋体" w:hAnsi="宋体" w:eastAsia="宋体" w:cs="宋体"/>
          <w:b/>
          <w:bCs/>
          <w:kern w:val="2"/>
          <w:sz w:val="24"/>
          <w:szCs w:val="24"/>
          <w:lang w:val="en-US" w:eastAsia="zh-CN" w:bidi="ar-SA"/>
        </w:rPr>
      </w:pPr>
      <w:r>
        <w:rPr>
          <w:rFonts w:hint="eastAsia" w:ascii="宋体" w:hAnsi="宋体" w:eastAsia="宋体" w:cs="宋体"/>
          <w:b/>
          <w:bCs/>
          <w:color w:val="000000"/>
          <w:sz w:val="24"/>
          <w:lang w:val="en-US" w:eastAsia="zh-CN"/>
        </w:rPr>
        <w:t>4、</w:t>
      </w:r>
      <w:r>
        <w:rPr>
          <w:rFonts w:hint="eastAsia" w:ascii="宋体" w:hAnsi="宋体" w:eastAsia="宋体" w:cs="宋体"/>
          <w:b/>
          <w:bCs/>
          <w:kern w:val="2"/>
          <w:sz w:val="24"/>
          <w:szCs w:val="24"/>
          <w:lang w:val="en-US" w:eastAsia="zh-CN" w:bidi="ar-SA"/>
        </w:rPr>
        <w:t>工期要求及付款比例</w:t>
      </w:r>
    </w:p>
    <w:p>
      <w:pPr>
        <w:pStyle w:val="1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78" w:lineRule="atLeast"/>
        <w:ind w:right="0" w:firstLine="241" w:firstLineChars="100"/>
        <w:rPr>
          <w:rFonts w:hint="eastAsia" w:ascii="宋体" w:hAnsi="宋体" w:eastAsia="宋体" w:cs="宋体"/>
          <w:kern w:val="2"/>
          <w:sz w:val="24"/>
          <w:szCs w:val="24"/>
          <w:lang w:val="en-US" w:eastAsia="zh-CN" w:bidi="ar-SA"/>
        </w:rPr>
      </w:pPr>
      <w:r>
        <w:rPr>
          <w:rFonts w:hint="eastAsia" w:ascii="宋体" w:hAnsi="宋体" w:eastAsia="宋体" w:cs="宋体"/>
          <w:b/>
          <w:bCs/>
          <w:color w:val="FF0000"/>
          <w:kern w:val="2"/>
          <w:sz w:val="24"/>
          <w:szCs w:val="24"/>
          <w:lang w:val="en-US" w:eastAsia="zh-CN" w:bidi="ar-SA"/>
        </w:rPr>
        <w:t>自设计中标日签订合同日起</w:t>
      </w:r>
      <w:r>
        <w:rPr>
          <w:rFonts w:hint="eastAsia" w:ascii="宋体" w:hAnsi="宋体" w:cs="宋体"/>
          <w:b/>
          <w:bCs/>
          <w:color w:val="FF0000"/>
          <w:kern w:val="2"/>
          <w:sz w:val="24"/>
          <w:szCs w:val="24"/>
          <w:lang w:val="en-US" w:eastAsia="zh-CN" w:bidi="ar-SA"/>
        </w:rPr>
        <w:t>60</w:t>
      </w:r>
      <w:r>
        <w:rPr>
          <w:rFonts w:hint="eastAsia" w:ascii="宋体" w:hAnsi="宋体" w:eastAsia="宋体" w:cs="宋体"/>
          <w:b/>
          <w:bCs/>
          <w:color w:val="FF0000"/>
          <w:kern w:val="2"/>
          <w:sz w:val="24"/>
          <w:szCs w:val="24"/>
          <w:lang w:val="en-US" w:eastAsia="zh-CN" w:bidi="ar-SA"/>
        </w:rPr>
        <w:t>日完成</w:t>
      </w:r>
      <w:r>
        <w:rPr>
          <w:rFonts w:hint="eastAsia" w:ascii="宋体" w:hAnsi="宋体" w:eastAsia="宋体" w:cs="宋体"/>
          <w:kern w:val="2"/>
          <w:sz w:val="24"/>
          <w:szCs w:val="24"/>
          <w:lang w:val="en-US" w:eastAsia="zh-CN" w:bidi="ar-SA"/>
        </w:rPr>
        <w:t>。总工期见下表：</w:t>
      </w:r>
    </w:p>
    <w:tbl>
      <w:tblPr>
        <w:tblStyle w:val="22"/>
        <w:tblW w:w="92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0"/>
        <w:gridCol w:w="1189"/>
        <w:gridCol w:w="1575"/>
        <w:gridCol w:w="1905"/>
        <w:gridCol w:w="17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0" w:type="dxa"/>
            <w:vAlign w:val="center"/>
          </w:tcPr>
          <w:p>
            <w:pPr>
              <w:autoSpaceDE w:val="0"/>
              <w:autoSpaceDN w:val="0"/>
              <w:adjustRightInd w:val="0"/>
              <w:jc w:val="center"/>
              <w:rPr>
                <w:rFonts w:hint="eastAsia" w:ascii="仿宋" w:hAnsi="仿宋" w:eastAsia="仿宋" w:cs="仿宋"/>
                <w:sz w:val="22"/>
                <w:szCs w:val="22"/>
                <w:lang w:eastAsia="zh-CN"/>
              </w:rPr>
            </w:pPr>
            <w:r>
              <w:rPr>
                <w:rFonts w:hint="eastAsia" w:ascii="仿宋" w:hAnsi="仿宋" w:eastAsia="仿宋" w:cs="仿宋"/>
                <w:sz w:val="22"/>
                <w:szCs w:val="22"/>
                <w:lang w:eastAsia="zh-CN"/>
              </w:rPr>
              <w:t>手册名称</w:t>
            </w:r>
          </w:p>
        </w:tc>
        <w:tc>
          <w:tcPr>
            <w:tcW w:w="1189" w:type="dxa"/>
            <w:vAlign w:val="center"/>
          </w:tcPr>
          <w:p>
            <w:pPr>
              <w:autoSpaceDE w:val="0"/>
              <w:autoSpaceDN w:val="0"/>
              <w:adjustRightInd w:val="0"/>
              <w:jc w:val="center"/>
              <w:rPr>
                <w:rFonts w:hint="eastAsia" w:ascii="仿宋" w:hAnsi="仿宋" w:eastAsia="仿宋" w:cs="仿宋"/>
                <w:sz w:val="22"/>
                <w:szCs w:val="22"/>
              </w:rPr>
            </w:pPr>
            <w:r>
              <w:rPr>
                <w:rFonts w:hint="eastAsia" w:ascii="仿宋" w:hAnsi="仿宋" w:eastAsia="仿宋" w:cs="仿宋"/>
                <w:sz w:val="22"/>
                <w:szCs w:val="22"/>
              </w:rPr>
              <w:t>内容要求</w:t>
            </w:r>
          </w:p>
        </w:tc>
        <w:tc>
          <w:tcPr>
            <w:tcW w:w="1575" w:type="dxa"/>
            <w:vAlign w:val="center"/>
          </w:tcPr>
          <w:p>
            <w:pPr>
              <w:autoSpaceDE w:val="0"/>
              <w:autoSpaceDN w:val="0"/>
              <w:adjustRightInd w:val="0"/>
              <w:jc w:val="center"/>
              <w:rPr>
                <w:rFonts w:hint="eastAsia" w:ascii="仿宋" w:hAnsi="仿宋" w:eastAsia="仿宋" w:cs="仿宋"/>
                <w:sz w:val="22"/>
                <w:szCs w:val="22"/>
              </w:rPr>
            </w:pPr>
            <w:r>
              <w:rPr>
                <w:rFonts w:hint="eastAsia" w:ascii="仿宋" w:hAnsi="仿宋" w:eastAsia="仿宋" w:cs="仿宋"/>
                <w:sz w:val="22"/>
                <w:szCs w:val="22"/>
              </w:rPr>
              <w:t>数量</w:t>
            </w:r>
          </w:p>
        </w:tc>
        <w:tc>
          <w:tcPr>
            <w:tcW w:w="1905" w:type="dxa"/>
            <w:vAlign w:val="center"/>
          </w:tcPr>
          <w:p>
            <w:pPr>
              <w:autoSpaceDE w:val="0"/>
              <w:autoSpaceDN w:val="0"/>
              <w:adjustRightInd w:val="0"/>
              <w:jc w:val="center"/>
              <w:rPr>
                <w:rFonts w:hint="eastAsia" w:ascii="仿宋" w:hAnsi="仿宋" w:eastAsia="仿宋" w:cs="仿宋"/>
                <w:sz w:val="22"/>
                <w:szCs w:val="22"/>
              </w:rPr>
            </w:pPr>
            <w:r>
              <w:rPr>
                <w:rFonts w:hint="eastAsia" w:ascii="仿宋" w:hAnsi="仿宋" w:eastAsia="仿宋" w:cs="仿宋"/>
                <w:sz w:val="22"/>
                <w:szCs w:val="22"/>
              </w:rPr>
              <w:t>交付时间</w:t>
            </w:r>
          </w:p>
        </w:tc>
        <w:tc>
          <w:tcPr>
            <w:tcW w:w="1731" w:type="dxa"/>
            <w:vAlign w:val="center"/>
          </w:tcPr>
          <w:p>
            <w:pPr>
              <w:autoSpaceDE w:val="0"/>
              <w:autoSpaceDN w:val="0"/>
              <w:adjustRightInd w:val="0"/>
              <w:jc w:val="center"/>
              <w:rPr>
                <w:rFonts w:hint="eastAsia" w:ascii="仿宋" w:hAnsi="仿宋" w:eastAsia="仿宋" w:cs="仿宋"/>
                <w:sz w:val="22"/>
                <w:szCs w:val="22"/>
                <w:lang w:eastAsia="zh-CN"/>
              </w:rPr>
            </w:pPr>
            <w:r>
              <w:rPr>
                <w:rFonts w:hint="eastAsia" w:ascii="仿宋" w:hAnsi="仿宋" w:eastAsia="仿宋" w:cs="仿宋"/>
                <w:sz w:val="22"/>
                <w:szCs w:val="22"/>
                <w:lang w:eastAsia="zh-CN"/>
              </w:rPr>
              <w:t>完成后</w:t>
            </w:r>
            <w:r>
              <w:rPr>
                <w:rFonts w:hint="eastAsia" w:ascii="仿宋" w:hAnsi="仿宋" w:eastAsia="仿宋" w:cs="仿宋"/>
                <w:sz w:val="22"/>
                <w:szCs w:val="22"/>
                <w:lang w:val="en-US" w:eastAsia="zh-CN"/>
              </w:rPr>
              <w:t>10日内</w:t>
            </w:r>
            <w:r>
              <w:rPr>
                <w:rFonts w:hint="eastAsia" w:ascii="仿宋" w:hAnsi="仿宋" w:eastAsia="仿宋" w:cs="仿宋"/>
                <w:sz w:val="22"/>
                <w:szCs w:val="22"/>
                <w:lang w:eastAsia="zh-CN"/>
              </w:rPr>
              <w:t>付款比例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2800" w:type="dxa"/>
            <w:vMerge w:val="restart"/>
            <w:vAlign w:val="center"/>
          </w:tcPr>
          <w:p>
            <w:pPr>
              <w:pStyle w:val="1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书香酒店设计指导手册</w:t>
            </w:r>
          </w:p>
          <w:p>
            <w:pPr>
              <w:autoSpaceDE w:val="0"/>
              <w:autoSpaceDN w:val="0"/>
              <w:adjustRightInd w:val="0"/>
              <w:jc w:val="center"/>
              <w:rPr>
                <w:rFonts w:hint="eastAsia" w:ascii="仿宋" w:hAnsi="仿宋" w:eastAsia="仿宋" w:cs="仿宋"/>
                <w:color w:val="auto"/>
                <w:sz w:val="22"/>
                <w:szCs w:val="22"/>
                <w:lang w:val="en-US" w:eastAsia="zh-CN"/>
              </w:rPr>
            </w:pPr>
            <w:r>
              <w:rPr>
                <w:rFonts w:hint="eastAsia" w:ascii="仿宋" w:hAnsi="仿宋" w:eastAsia="仿宋" w:cs="仿宋"/>
                <w:color w:val="auto"/>
                <w:kern w:val="2"/>
                <w:sz w:val="22"/>
                <w:szCs w:val="22"/>
                <w:lang w:val="en-US" w:eastAsia="zh-CN" w:bidi="ar-SA"/>
              </w:rPr>
              <w:t>（府邸、世家、门第、心泊）</w:t>
            </w:r>
            <w:r>
              <w:rPr>
                <w:rFonts w:hint="eastAsia" w:ascii="仿宋" w:hAnsi="仿宋" w:eastAsia="仿宋" w:cs="仿宋"/>
                <w:color w:val="auto"/>
                <w:sz w:val="22"/>
                <w:szCs w:val="22"/>
                <w:lang w:val="en-US" w:eastAsia="zh-CN"/>
              </w:rPr>
              <w:t>；</w:t>
            </w:r>
          </w:p>
          <w:p>
            <w:pPr>
              <w:autoSpaceDE w:val="0"/>
              <w:autoSpaceDN w:val="0"/>
              <w:adjustRightInd w:val="0"/>
              <w:jc w:val="center"/>
              <w:rPr>
                <w:rFonts w:hint="eastAsia" w:ascii="仿宋" w:hAnsi="仿宋" w:eastAsia="仿宋" w:cs="仿宋"/>
                <w:sz w:val="22"/>
                <w:szCs w:val="22"/>
              </w:rPr>
            </w:pPr>
            <w:r>
              <w:rPr>
                <w:rFonts w:hint="eastAsia" w:ascii="仿宋" w:hAnsi="仿宋" w:eastAsia="仿宋" w:cs="仿宋"/>
                <w:color w:val="auto"/>
                <w:sz w:val="22"/>
                <w:szCs w:val="22"/>
                <w:lang w:val="en-US" w:eastAsia="zh-CN"/>
              </w:rPr>
              <w:t>书香工程施工工艺标准手册</w:t>
            </w:r>
          </w:p>
        </w:tc>
        <w:tc>
          <w:tcPr>
            <w:tcW w:w="1189" w:type="dxa"/>
            <w:vAlign w:val="center"/>
          </w:tcPr>
          <w:p>
            <w:pPr>
              <w:autoSpaceDE w:val="0"/>
              <w:autoSpaceDN w:val="0"/>
              <w:adjustRightInd w:val="0"/>
              <w:jc w:val="center"/>
              <w:rPr>
                <w:rFonts w:hint="eastAsia" w:ascii="仿宋" w:hAnsi="仿宋" w:eastAsia="仿宋" w:cs="仿宋"/>
                <w:sz w:val="22"/>
                <w:szCs w:val="22"/>
                <w:lang w:eastAsia="zh-CN"/>
              </w:rPr>
            </w:pPr>
            <w:r>
              <w:rPr>
                <w:rFonts w:hint="eastAsia" w:ascii="仿宋" w:hAnsi="仿宋" w:eastAsia="仿宋" w:cs="仿宋"/>
                <w:sz w:val="22"/>
                <w:szCs w:val="22"/>
                <w:lang w:eastAsia="zh-CN"/>
              </w:rPr>
              <w:t>提纲目录</w:t>
            </w:r>
          </w:p>
        </w:tc>
        <w:tc>
          <w:tcPr>
            <w:tcW w:w="1575" w:type="dxa"/>
            <w:vAlign w:val="center"/>
          </w:tcPr>
          <w:p>
            <w:pPr>
              <w:autoSpaceDE w:val="0"/>
              <w:autoSpaceDN w:val="0"/>
              <w:adjustRightInd w:val="0"/>
              <w:jc w:val="center"/>
              <w:rPr>
                <w:rFonts w:hint="eastAsia" w:ascii="仿宋" w:hAnsi="仿宋" w:eastAsia="仿宋" w:cs="仿宋"/>
                <w:sz w:val="22"/>
                <w:szCs w:val="22"/>
              </w:rPr>
            </w:pPr>
            <w:r>
              <w:rPr>
                <w:rFonts w:hint="eastAsia" w:ascii="仿宋" w:hAnsi="仿宋" w:eastAsia="仿宋" w:cs="仿宋"/>
                <w:sz w:val="22"/>
                <w:szCs w:val="22"/>
              </w:rPr>
              <w:t>电子档1份</w:t>
            </w:r>
          </w:p>
        </w:tc>
        <w:tc>
          <w:tcPr>
            <w:tcW w:w="1905" w:type="dxa"/>
            <w:vAlign w:val="center"/>
          </w:tcPr>
          <w:p>
            <w:pPr>
              <w:autoSpaceDE w:val="0"/>
              <w:autoSpaceDN w:val="0"/>
              <w:adjustRightInd w:val="0"/>
              <w:jc w:val="left"/>
              <w:rPr>
                <w:rFonts w:hint="eastAsia" w:ascii="仿宋" w:hAnsi="仿宋" w:eastAsia="仿宋" w:cs="仿宋"/>
                <w:sz w:val="22"/>
                <w:szCs w:val="22"/>
                <w:lang w:eastAsia="zh-CN"/>
              </w:rPr>
            </w:pPr>
            <w:r>
              <w:rPr>
                <w:rFonts w:hint="eastAsia" w:ascii="仿宋" w:hAnsi="仿宋" w:eastAsia="仿宋" w:cs="仿宋"/>
                <w:kern w:val="0"/>
                <w:sz w:val="22"/>
                <w:szCs w:val="22"/>
              </w:rPr>
              <w:t>合同签定后</w:t>
            </w:r>
            <w:r>
              <w:rPr>
                <w:rFonts w:hint="eastAsia" w:ascii="仿宋" w:hAnsi="仿宋" w:eastAsia="仿宋" w:cs="仿宋"/>
                <w:kern w:val="0"/>
                <w:sz w:val="22"/>
                <w:szCs w:val="22"/>
                <w:lang w:val="en-US" w:eastAsia="zh-CN"/>
              </w:rPr>
              <w:t>5</w:t>
            </w:r>
            <w:r>
              <w:rPr>
                <w:rFonts w:hint="eastAsia" w:ascii="仿宋" w:hAnsi="仿宋" w:eastAsia="仿宋" w:cs="仿宋"/>
                <w:kern w:val="0"/>
                <w:sz w:val="22"/>
                <w:szCs w:val="22"/>
              </w:rPr>
              <w:t>日</w:t>
            </w:r>
            <w:r>
              <w:rPr>
                <w:rFonts w:hint="eastAsia" w:ascii="仿宋" w:hAnsi="仿宋" w:eastAsia="仿宋" w:cs="仿宋"/>
                <w:kern w:val="0"/>
                <w:sz w:val="22"/>
                <w:szCs w:val="22"/>
                <w:lang w:eastAsia="zh-CN"/>
              </w:rPr>
              <w:t>内</w:t>
            </w:r>
          </w:p>
        </w:tc>
        <w:tc>
          <w:tcPr>
            <w:tcW w:w="1731" w:type="dxa"/>
            <w:vAlign w:val="center"/>
          </w:tcPr>
          <w:p>
            <w:pPr>
              <w:autoSpaceDE w:val="0"/>
              <w:autoSpaceDN w:val="0"/>
              <w:adjustRightInd w:val="0"/>
              <w:jc w:val="center"/>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30%（预付款）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800" w:type="dxa"/>
            <w:vMerge w:val="continue"/>
            <w:vAlign w:val="center"/>
          </w:tcPr>
          <w:p>
            <w:pPr>
              <w:autoSpaceDE w:val="0"/>
              <w:autoSpaceDN w:val="0"/>
              <w:adjustRightInd w:val="0"/>
              <w:jc w:val="center"/>
              <w:rPr>
                <w:rFonts w:hint="eastAsia" w:ascii="仿宋" w:hAnsi="仿宋" w:eastAsia="仿宋" w:cs="仿宋"/>
                <w:sz w:val="22"/>
                <w:szCs w:val="22"/>
              </w:rPr>
            </w:pPr>
          </w:p>
        </w:tc>
        <w:tc>
          <w:tcPr>
            <w:tcW w:w="1189" w:type="dxa"/>
            <w:vAlign w:val="center"/>
          </w:tcPr>
          <w:p>
            <w:pPr>
              <w:autoSpaceDE w:val="0"/>
              <w:autoSpaceDN w:val="0"/>
              <w:adjustRightInd w:val="0"/>
              <w:jc w:val="center"/>
              <w:rPr>
                <w:rFonts w:hint="eastAsia" w:ascii="仿宋" w:hAnsi="仿宋" w:eastAsia="仿宋" w:cs="仿宋"/>
                <w:sz w:val="22"/>
                <w:szCs w:val="22"/>
                <w:lang w:eastAsia="zh-CN"/>
              </w:rPr>
            </w:pPr>
            <w:r>
              <w:rPr>
                <w:rFonts w:hint="eastAsia" w:ascii="仿宋" w:hAnsi="仿宋" w:eastAsia="仿宋" w:cs="仿宋"/>
                <w:sz w:val="22"/>
                <w:szCs w:val="22"/>
                <w:lang w:eastAsia="zh-CN"/>
              </w:rPr>
              <w:t>初稿</w:t>
            </w:r>
          </w:p>
        </w:tc>
        <w:tc>
          <w:tcPr>
            <w:tcW w:w="1575" w:type="dxa"/>
            <w:vAlign w:val="center"/>
          </w:tcPr>
          <w:p>
            <w:pPr>
              <w:autoSpaceDE w:val="0"/>
              <w:autoSpaceDN w:val="0"/>
              <w:adjustRightInd w:val="0"/>
              <w:jc w:val="center"/>
              <w:rPr>
                <w:rFonts w:hint="eastAsia" w:ascii="仿宋" w:hAnsi="仿宋" w:eastAsia="仿宋" w:cs="仿宋"/>
                <w:sz w:val="22"/>
                <w:szCs w:val="22"/>
              </w:rPr>
            </w:pPr>
            <w:r>
              <w:rPr>
                <w:rFonts w:hint="eastAsia" w:ascii="仿宋" w:hAnsi="仿宋" w:eastAsia="仿宋" w:cs="仿宋"/>
                <w:sz w:val="22"/>
                <w:szCs w:val="22"/>
              </w:rPr>
              <w:t>电子档1份</w:t>
            </w:r>
          </w:p>
        </w:tc>
        <w:tc>
          <w:tcPr>
            <w:tcW w:w="1905" w:type="dxa"/>
            <w:vAlign w:val="center"/>
          </w:tcPr>
          <w:p>
            <w:pPr>
              <w:autoSpaceDE w:val="0"/>
              <w:autoSpaceDN w:val="0"/>
              <w:adjustRightInd w:val="0"/>
              <w:jc w:val="left"/>
              <w:rPr>
                <w:rFonts w:hint="eastAsia" w:ascii="仿宋" w:hAnsi="仿宋" w:eastAsia="仿宋" w:cs="仿宋"/>
                <w:sz w:val="22"/>
                <w:szCs w:val="22"/>
                <w:lang w:eastAsia="zh-CN"/>
              </w:rPr>
            </w:pPr>
            <w:r>
              <w:rPr>
                <w:rFonts w:hint="eastAsia" w:ascii="仿宋" w:hAnsi="仿宋" w:eastAsia="仿宋" w:cs="仿宋"/>
                <w:kern w:val="0"/>
                <w:sz w:val="22"/>
                <w:szCs w:val="22"/>
              </w:rPr>
              <w:t>甲方确认</w:t>
            </w:r>
            <w:r>
              <w:rPr>
                <w:rFonts w:hint="eastAsia" w:ascii="仿宋" w:hAnsi="仿宋" w:eastAsia="仿宋" w:cs="仿宋"/>
                <w:kern w:val="0"/>
                <w:sz w:val="22"/>
                <w:szCs w:val="22"/>
                <w:lang w:eastAsia="zh-CN"/>
              </w:rPr>
              <w:t>提纲目录</w:t>
            </w:r>
            <w:r>
              <w:rPr>
                <w:rFonts w:hint="eastAsia" w:ascii="仿宋" w:hAnsi="仿宋" w:eastAsia="仿宋" w:cs="仿宋"/>
                <w:kern w:val="0"/>
                <w:sz w:val="22"/>
                <w:szCs w:val="22"/>
              </w:rPr>
              <w:t>后</w:t>
            </w:r>
            <w:r>
              <w:rPr>
                <w:rFonts w:hint="eastAsia" w:ascii="仿宋" w:hAnsi="仿宋" w:eastAsia="仿宋" w:cs="仿宋"/>
                <w:kern w:val="0"/>
                <w:sz w:val="22"/>
                <w:szCs w:val="22"/>
                <w:lang w:val="en-US" w:eastAsia="zh-CN"/>
              </w:rPr>
              <w:t>30</w:t>
            </w:r>
            <w:r>
              <w:rPr>
                <w:rFonts w:hint="eastAsia" w:ascii="仿宋" w:hAnsi="仿宋" w:eastAsia="仿宋" w:cs="仿宋"/>
                <w:kern w:val="0"/>
                <w:sz w:val="22"/>
                <w:szCs w:val="22"/>
              </w:rPr>
              <w:t>日</w:t>
            </w:r>
            <w:r>
              <w:rPr>
                <w:rFonts w:hint="eastAsia" w:ascii="仿宋" w:hAnsi="仿宋" w:eastAsia="仿宋" w:cs="仿宋"/>
                <w:kern w:val="0"/>
                <w:sz w:val="22"/>
                <w:szCs w:val="22"/>
                <w:lang w:eastAsia="zh-CN"/>
              </w:rPr>
              <w:t>内</w:t>
            </w:r>
          </w:p>
        </w:tc>
        <w:tc>
          <w:tcPr>
            <w:tcW w:w="1731" w:type="dxa"/>
            <w:vAlign w:val="center"/>
          </w:tcPr>
          <w:p>
            <w:pPr>
              <w:autoSpaceDE w:val="0"/>
              <w:autoSpaceDN w:val="0"/>
              <w:adjustRightInd w:val="0"/>
              <w:jc w:val="center"/>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20%（进度款）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800" w:type="dxa"/>
            <w:vMerge w:val="continue"/>
            <w:vAlign w:val="center"/>
          </w:tcPr>
          <w:p>
            <w:pPr>
              <w:autoSpaceDE w:val="0"/>
              <w:autoSpaceDN w:val="0"/>
              <w:adjustRightInd w:val="0"/>
              <w:jc w:val="center"/>
              <w:rPr>
                <w:rFonts w:hint="eastAsia" w:ascii="仿宋" w:hAnsi="仿宋" w:eastAsia="仿宋" w:cs="仿宋"/>
                <w:sz w:val="22"/>
                <w:szCs w:val="22"/>
              </w:rPr>
            </w:pPr>
          </w:p>
        </w:tc>
        <w:tc>
          <w:tcPr>
            <w:tcW w:w="1189" w:type="dxa"/>
            <w:vMerge w:val="restart"/>
            <w:vAlign w:val="center"/>
          </w:tcPr>
          <w:p>
            <w:pPr>
              <w:autoSpaceDE w:val="0"/>
              <w:autoSpaceDN w:val="0"/>
              <w:adjustRightInd w:val="0"/>
              <w:jc w:val="center"/>
              <w:rPr>
                <w:rFonts w:hint="eastAsia" w:ascii="仿宋" w:hAnsi="仿宋" w:eastAsia="仿宋" w:cs="仿宋"/>
                <w:sz w:val="22"/>
                <w:szCs w:val="22"/>
                <w:lang w:eastAsia="zh-CN"/>
              </w:rPr>
            </w:pPr>
            <w:r>
              <w:rPr>
                <w:rFonts w:hint="eastAsia" w:ascii="仿宋" w:hAnsi="仿宋" w:eastAsia="仿宋" w:cs="仿宋"/>
                <w:sz w:val="22"/>
                <w:szCs w:val="22"/>
                <w:lang w:eastAsia="zh-CN"/>
              </w:rPr>
              <w:t>最终稿</w:t>
            </w:r>
          </w:p>
        </w:tc>
        <w:tc>
          <w:tcPr>
            <w:tcW w:w="1575" w:type="dxa"/>
            <w:vAlign w:val="center"/>
          </w:tcPr>
          <w:p>
            <w:pPr>
              <w:autoSpaceDE w:val="0"/>
              <w:autoSpaceDN w:val="0"/>
              <w:adjustRightInd w:val="0"/>
              <w:jc w:val="center"/>
              <w:rPr>
                <w:rFonts w:hint="eastAsia" w:ascii="仿宋" w:hAnsi="仿宋" w:eastAsia="仿宋" w:cs="仿宋"/>
                <w:sz w:val="22"/>
                <w:szCs w:val="22"/>
              </w:rPr>
            </w:pPr>
            <w:r>
              <w:rPr>
                <w:rFonts w:hint="eastAsia" w:ascii="仿宋" w:hAnsi="仿宋" w:eastAsia="仿宋" w:cs="仿宋"/>
                <w:sz w:val="22"/>
                <w:szCs w:val="22"/>
              </w:rPr>
              <w:t>电子档</w:t>
            </w:r>
            <w:r>
              <w:rPr>
                <w:rFonts w:hint="eastAsia" w:ascii="仿宋" w:hAnsi="仿宋" w:eastAsia="仿宋" w:cs="仿宋"/>
                <w:sz w:val="22"/>
                <w:szCs w:val="22"/>
                <w:lang w:val="en-US" w:eastAsia="zh-CN"/>
              </w:rPr>
              <w:t>2</w:t>
            </w:r>
            <w:r>
              <w:rPr>
                <w:rFonts w:hint="eastAsia" w:ascii="仿宋" w:hAnsi="仿宋" w:eastAsia="仿宋" w:cs="仿宋"/>
                <w:sz w:val="22"/>
                <w:szCs w:val="22"/>
              </w:rPr>
              <w:t>份</w:t>
            </w:r>
          </w:p>
        </w:tc>
        <w:tc>
          <w:tcPr>
            <w:tcW w:w="1905" w:type="dxa"/>
            <w:vMerge w:val="restart"/>
            <w:vAlign w:val="center"/>
          </w:tcPr>
          <w:p>
            <w:pPr>
              <w:autoSpaceDE w:val="0"/>
              <w:autoSpaceDN w:val="0"/>
              <w:adjustRightInd w:val="0"/>
              <w:jc w:val="left"/>
              <w:rPr>
                <w:rFonts w:hint="eastAsia" w:ascii="仿宋" w:hAnsi="仿宋" w:eastAsia="仿宋" w:cs="仿宋"/>
                <w:sz w:val="22"/>
                <w:szCs w:val="22"/>
                <w:lang w:val="en-US" w:eastAsia="zh-CN"/>
              </w:rPr>
            </w:pPr>
            <w:r>
              <w:rPr>
                <w:rFonts w:hint="eastAsia" w:ascii="仿宋" w:hAnsi="仿宋" w:eastAsia="仿宋" w:cs="仿宋"/>
                <w:kern w:val="0"/>
                <w:sz w:val="22"/>
                <w:szCs w:val="22"/>
                <w:lang w:eastAsia="zh-CN"/>
              </w:rPr>
              <w:t>初稿后</w:t>
            </w:r>
            <w:r>
              <w:rPr>
                <w:rFonts w:hint="eastAsia" w:ascii="仿宋" w:hAnsi="仿宋" w:eastAsia="仿宋" w:cs="仿宋"/>
                <w:kern w:val="0"/>
                <w:sz w:val="22"/>
                <w:szCs w:val="22"/>
                <w:lang w:val="en-US" w:eastAsia="zh-CN"/>
              </w:rPr>
              <w:t>25日</w:t>
            </w:r>
          </w:p>
        </w:tc>
        <w:tc>
          <w:tcPr>
            <w:tcW w:w="1731" w:type="dxa"/>
            <w:vMerge w:val="restart"/>
            <w:vAlign w:val="center"/>
          </w:tcPr>
          <w:p>
            <w:pPr>
              <w:autoSpaceDE w:val="0"/>
              <w:autoSpaceDN w:val="0"/>
              <w:adjustRightInd w:val="0"/>
              <w:jc w:val="center"/>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0" w:type="dxa"/>
            <w:vMerge w:val="continue"/>
            <w:vAlign w:val="center"/>
          </w:tcPr>
          <w:p>
            <w:pPr>
              <w:autoSpaceDE w:val="0"/>
              <w:autoSpaceDN w:val="0"/>
              <w:adjustRightInd w:val="0"/>
              <w:jc w:val="center"/>
              <w:rPr>
                <w:rFonts w:hint="eastAsia" w:ascii="宋体" w:hAnsi="宋体" w:eastAsia="宋体" w:cs="宋体"/>
                <w:szCs w:val="21"/>
              </w:rPr>
            </w:pPr>
          </w:p>
        </w:tc>
        <w:tc>
          <w:tcPr>
            <w:tcW w:w="1189" w:type="dxa"/>
            <w:vMerge w:val="continue"/>
            <w:vAlign w:val="center"/>
          </w:tcPr>
          <w:p>
            <w:pPr>
              <w:autoSpaceDE w:val="0"/>
              <w:autoSpaceDN w:val="0"/>
              <w:adjustRightInd w:val="0"/>
              <w:jc w:val="center"/>
              <w:rPr>
                <w:rFonts w:hint="eastAsia" w:ascii="宋体" w:hAnsi="宋体" w:eastAsia="宋体" w:cs="宋体"/>
                <w:szCs w:val="21"/>
              </w:rPr>
            </w:pPr>
          </w:p>
        </w:tc>
        <w:tc>
          <w:tcPr>
            <w:tcW w:w="1575" w:type="dxa"/>
            <w:vAlign w:val="center"/>
          </w:tcPr>
          <w:p>
            <w:pPr>
              <w:autoSpaceDE w:val="0"/>
              <w:autoSpaceDN w:val="0"/>
              <w:adjustRightInd w:val="0"/>
              <w:jc w:val="center"/>
              <w:rPr>
                <w:rFonts w:hint="eastAsia" w:ascii="宋体" w:hAnsi="宋体" w:eastAsia="宋体" w:cs="宋体"/>
                <w:sz w:val="22"/>
                <w:szCs w:val="22"/>
                <w:lang w:val="en-US" w:eastAsia="zh-CN"/>
              </w:rPr>
            </w:pPr>
            <w:r>
              <w:rPr>
                <w:rFonts w:hint="eastAsia" w:ascii="仿宋" w:hAnsi="仿宋" w:eastAsia="仿宋" w:cs="仿宋"/>
                <w:sz w:val="22"/>
                <w:szCs w:val="22"/>
                <w:lang w:eastAsia="zh-CN"/>
              </w:rPr>
              <w:t>纸质版</w:t>
            </w:r>
            <w:r>
              <w:rPr>
                <w:rFonts w:hint="eastAsia" w:ascii="仿宋" w:hAnsi="仿宋" w:eastAsia="仿宋" w:cs="仿宋"/>
                <w:sz w:val="22"/>
                <w:szCs w:val="22"/>
                <w:lang w:val="en-US" w:eastAsia="zh-CN"/>
              </w:rPr>
              <w:t>10本</w:t>
            </w:r>
          </w:p>
        </w:tc>
        <w:tc>
          <w:tcPr>
            <w:tcW w:w="1905" w:type="dxa"/>
            <w:vMerge w:val="continue"/>
            <w:vAlign w:val="center"/>
          </w:tcPr>
          <w:p>
            <w:pPr>
              <w:autoSpaceDE w:val="0"/>
              <w:autoSpaceDN w:val="0"/>
              <w:adjustRightInd w:val="0"/>
              <w:jc w:val="center"/>
              <w:rPr>
                <w:rFonts w:hint="eastAsia" w:ascii="宋体" w:hAnsi="宋体" w:eastAsia="宋体" w:cs="宋体"/>
                <w:szCs w:val="21"/>
              </w:rPr>
            </w:pPr>
          </w:p>
        </w:tc>
        <w:tc>
          <w:tcPr>
            <w:tcW w:w="1731" w:type="dxa"/>
            <w:vMerge w:val="continue"/>
            <w:vAlign w:val="center"/>
          </w:tcPr>
          <w:p>
            <w:pPr>
              <w:autoSpaceDE w:val="0"/>
              <w:autoSpaceDN w:val="0"/>
              <w:adjustRightInd w:val="0"/>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2800" w:type="dxa"/>
            <w:vMerge w:val="continue"/>
            <w:vAlign w:val="center"/>
          </w:tcPr>
          <w:p>
            <w:pPr>
              <w:autoSpaceDE w:val="0"/>
              <w:autoSpaceDN w:val="0"/>
              <w:adjustRightInd w:val="0"/>
              <w:jc w:val="center"/>
              <w:rPr>
                <w:rFonts w:hint="eastAsia" w:ascii="宋体" w:hAnsi="宋体" w:eastAsia="宋体" w:cs="宋体"/>
                <w:szCs w:val="21"/>
              </w:rPr>
            </w:pPr>
          </w:p>
        </w:tc>
        <w:tc>
          <w:tcPr>
            <w:tcW w:w="1189" w:type="dxa"/>
            <w:vMerge w:val="continue"/>
            <w:vAlign w:val="center"/>
          </w:tcPr>
          <w:p>
            <w:pPr>
              <w:autoSpaceDE w:val="0"/>
              <w:autoSpaceDN w:val="0"/>
              <w:adjustRightInd w:val="0"/>
              <w:jc w:val="center"/>
              <w:rPr>
                <w:rFonts w:hint="eastAsia" w:ascii="宋体" w:hAnsi="宋体" w:eastAsia="宋体" w:cs="宋体"/>
                <w:szCs w:val="21"/>
                <w:lang w:eastAsia="zh-CN"/>
              </w:rPr>
            </w:pPr>
          </w:p>
        </w:tc>
        <w:tc>
          <w:tcPr>
            <w:tcW w:w="1575" w:type="dxa"/>
            <w:vAlign w:val="center"/>
          </w:tcPr>
          <w:p>
            <w:pPr>
              <w:autoSpaceDE w:val="0"/>
              <w:autoSpaceDN w:val="0"/>
              <w:adjustRightInd w:val="0"/>
              <w:jc w:val="center"/>
              <w:rPr>
                <w:rFonts w:hint="eastAsia" w:ascii="宋体" w:hAnsi="宋体" w:eastAsia="宋体" w:cs="宋体"/>
                <w:sz w:val="22"/>
                <w:szCs w:val="22"/>
              </w:rPr>
            </w:pPr>
            <w:r>
              <w:rPr>
                <w:rFonts w:hint="eastAsia" w:ascii="仿宋" w:hAnsi="仿宋" w:eastAsia="仿宋" w:cs="仿宋"/>
                <w:sz w:val="22"/>
                <w:szCs w:val="22"/>
                <w:lang w:eastAsia="zh-CN"/>
              </w:rPr>
              <w:t>纸质版</w:t>
            </w:r>
            <w:r>
              <w:rPr>
                <w:rFonts w:hint="eastAsia" w:ascii="仿宋" w:hAnsi="仿宋" w:eastAsia="仿宋" w:cs="仿宋"/>
                <w:sz w:val="22"/>
                <w:szCs w:val="22"/>
                <w:lang w:val="en-US" w:eastAsia="zh-CN"/>
              </w:rPr>
              <w:t>10本</w:t>
            </w:r>
          </w:p>
        </w:tc>
        <w:tc>
          <w:tcPr>
            <w:tcW w:w="1905" w:type="dxa"/>
            <w:vMerge w:val="continue"/>
            <w:vAlign w:val="center"/>
          </w:tcPr>
          <w:p>
            <w:pPr>
              <w:autoSpaceDE w:val="0"/>
              <w:autoSpaceDN w:val="0"/>
              <w:adjustRightInd w:val="0"/>
              <w:jc w:val="center"/>
              <w:rPr>
                <w:rFonts w:hint="eastAsia" w:ascii="宋体" w:hAnsi="宋体" w:eastAsia="宋体" w:cs="宋体"/>
                <w:szCs w:val="21"/>
              </w:rPr>
            </w:pPr>
          </w:p>
        </w:tc>
        <w:tc>
          <w:tcPr>
            <w:tcW w:w="1731" w:type="dxa"/>
            <w:vMerge w:val="continue"/>
            <w:vAlign w:val="center"/>
          </w:tcPr>
          <w:p>
            <w:pPr>
              <w:autoSpaceDE w:val="0"/>
              <w:autoSpaceDN w:val="0"/>
              <w:adjustRightInd w:val="0"/>
              <w:jc w:val="center"/>
              <w:rPr>
                <w:rFonts w:hint="eastAsia" w:ascii="宋体" w:hAnsi="宋体" w:eastAsia="宋体" w:cs="宋体"/>
                <w:szCs w:val="21"/>
              </w:rPr>
            </w:pPr>
          </w:p>
        </w:tc>
      </w:tr>
    </w:tbl>
    <w:p>
      <w:pPr>
        <w:tabs>
          <w:tab w:val="left" w:pos="180"/>
          <w:tab w:val="left" w:pos="945"/>
        </w:tabs>
        <w:rPr>
          <w:rFonts w:hint="eastAsia" w:ascii="仿宋" w:hAnsi="仿宋" w:eastAsia="仿宋" w:cs="仿宋"/>
          <w:color w:val="000000"/>
          <w:sz w:val="22"/>
          <w:lang w:val="en-US" w:eastAsia="zh-CN"/>
        </w:rPr>
      </w:pPr>
      <w:r>
        <w:rPr>
          <w:rFonts w:hint="eastAsia" w:ascii="仿宋" w:hAnsi="仿宋" w:eastAsia="仿宋" w:cs="仿宋"/>
          <w:color w:val="000000"/>
          <w:sz w:val="22"/>
          <w:lang w:val="en-US" w:eastAsia="zh-CN"/>
        </w:rPr>
        <w:t xml:space="preserve"> </w:t>
      </w:r>
    </w:p>
    <w:p>
      <w:pPr>
        <w:pStyle w:val="17"/>
        <w:spacing w:line="360" w:lineRule="auto"/>
        <w:rPr>
          <w:rFonts w:hint="eastAsia" w:ascii="仿宋" w:hAnsi="仿宋" w:eastAsia="仿宋" w:cs="仿宋"/>
          <w:sz w:val="24"/>
          <w:szCs w:val="24"/>
          <w:lang w:eastAsia="zh-CN"/>
        </w:rPr>
      </w:pPr>
      <w:r>
        <w:rPr>
          <w:rFonts w:hint="eastAsia" w:ascii="仿宋" w:hAnsi="仿宋" w:eastAsia="仿宋" w:cs="仿宋"/>
          <w:kern w:val="2"/>
          <w:sz w:val="24"/>
          <w:szCs w:val="24"/>
          <w:lang w:val="en-US" w:eastAsia="zh-CN" w:bidi="ar-SA"/>
        </w:rPr>
        <w:t>备注：</w:t>
      </w:r>
      <w:r>
        <w:rPr>
          <w:rFonts w:hint="eastAsia" w:ascii="仿宋" w:hAnsi="仿宋" w:eastAsia="仿宋" w:cs="仿宋"/>
          <w:sz w:val="24"/>
          <w:szCs w:val="24"/>
          <w:lang w:eastAsia="zh-CN"/>
        </w:rPr>
        <w:t>中标方开具相应金额</w:t>
      </w:r>
      <w:r>
        <w:rPr>
          <w:rFonts w:hint="eastAsia" w:ascii="仿宋" w:hAnsi="仿宋" w:eastAsia="仿宋" w:cs="仿宋"/>
          <w:sz w:val="24"/>
          <w:szCs w:val="24"/>
        </w:rPr>
        <w:t>增值税</w:t>
      </w:r>
      <w:r>
        <w:rPr>
          <w:rFonts w:hint="eastAsia" w:ascii="仿宋" w:hAnsi="仿宋" w:eastAsia="仿宋" w:cs="仿宋"/>
          <w:sz w:val="24"/>
          <w:szCs w:val="24"/>
          <w:lang w:eastAsia="zh-CN"/>
        </w:rPr>
        <w:t>专用</w:t>
      </w:r>
      <w:r>
        <w:rPr>
          <w:rFonts w:hint="eastAsia" w:ascii="仿宋" w:hAnsi="仿宋" w:eastAsia="仿宋" w:cs="仿宋"/>
          <w:sz w:val="24"/>
          <w:szCs w:val="24"/>
        </w:rPr>
        <w:t>发票</w:t>
      </w:r>
      <w:r>
        <w:rPr>
          <w:rFonts w:hint="eastAsia" w:ascii="仿宋" w:hAnsi="仿宋" w:eastAsia="仿宋" w:cs="仿宋"/>
          <w:sz w:val="24"/>
          <w:szCs w:val="24"/>
          <w:lang w:eastAsia="zh-CN"/>
        </w:rPr>
        <w:t>，请款函获批后方可付款</w:t>
      </w:r>
    </w:p>
    <w:p>
      <w:pPr>
        <w:numPr>
          <w:ilvl w:val="0"/>
          <w:numId w:val="0"/>
        </w:numPr>
        <w:spacing w:line="400" w:lineRule="atLeast"/>
        <w:jc w:val="center"/>
        <w:rPr>
          <w:rFonts w:hint="eastAsia" w:ascii="仿宋" w:hAnsi="仿宋" w:eastAsia="仿宋" w:cs="仿宋"/>
          <w:b/>
          <w:bCs/>
          <w:sz w:val="24"/>
          <w:szCs w:val="24"/>
          <w:lang w:val="en-US" w:eastAsia="zh-CN"/>
        </w:rPr>
      </w:pPr>
    </w:p>
    <w:p>
      <w:pPr>
        <w:spacing w:line="360" w:lineRule="auto"/>
        <w:jc w:val="center"/>
        <w:rPr>
          <w:rFonts w:hint="eastAsia" w:ascii="仿宋" w:hAnsi="仿宋" w:eastAsia="仿宋" w:cs="仿宋"/>
          <w:b/>
          <w:bCs/>
          <w:sz w:val="28"/>
          <w:szCs w:val="28"/>
        </w:rPr>
      </w:pPr>
    </w:p>
    <w:p>
      <w:pPr>
        <w:pStyle w:val="20"/>
        <w:jc w:val="center"/>
        <w:rPr>
          <w:rFonts w:hint="eastAsia" w:ascii="仿宋" w:hAnsi="仿宋" w:eastAsia="仿宋" w:cs="仿宋"/>
          <w:lang w:eastAsia="zh-CN"/>
        </w:rPr>
      </w:pPr>
      <w:bookmarkStart w:id="5" w:name="_Toc10295"/>
      <w:r>
        <w:rPr>
          <w:rFonts w:hint="eastAsia" w:ascii="仿宋" w:hAnsi="仿宋" w:eastAsia="仿宋" w:cs="仿宋"/>
          <w:lang w:eastAsia="zh-CN"/>
        </w:rPr>
        <w:t>第四章、附件</w:t>
      </w:r>
      <w:bookmarkEnd w:id="5"/>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书香酒店集团设计标准指导手册编纂</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 在全面研究了贵公司的招标文件后，我们愿意按总价:       元（人民币大写：                    ）的报价参与投标</w:t>
      </w:r>
      <w:r>
        <w:rPr>
          <w:rFonts w:hint="eastAsia" w:ascii="仿宋" w:hAnsi="仿宋" w:eastAsia="仿宋" w:cs="仿宋"/>
          <w:color w:val="000000"/>
          <w:sz w:val="24"/>
          <w:szCs w:val="24"/>
          <w:lang w:eastAsia="zh-CN"/>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书香酒店集团设计标准指导手册编纂</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书香酒店集团设计标准指导手册编纂</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20</w:t>
      </w:r>
      <w:r>
        <w:rPr>
          <w:rFonts w:hint="eastAsia" w:ascii="仿宋" w:hAnsi="仿宋" w:eastAsia="仿宋" w:cs="仿宋"/>
          <w:color w:val="000000"/>
          <w:sz w:val="24"/>
          <w:szCs w:val="24"/>
          <w:lang w:val="en-US" w:eastAsia="zh-CN"/>
        </w:rPr>
        <w:t>20</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20</w:t>
      </w:r>
      <w:r>
        <w:rPr>
          <w:rFonts w:hint="eastAsia" w:ascii="仿宋" w:hAnsi="仿宋" w:eastAsia="仿宋" w:cs="仿宋"/>
          <w:color w:val="000000"/>
          <w:sz w:val="24"/>
          <w:szCs w:val="24"/>
          <w:lang w:val="en-US" w:eastAsia="zh-CN"/>
        </w:rPr>
        <w:t>20</w:t>
      </w:r>
      <w:r>
        <w:rPr>
          <w:rFonts w:hint="eastAsia" w:ascii="仿宋" w:hAnsi="仿宋" w:eastAsia="仿宋" w:cs="仿宋"/>
          <w:color w:val="000000"/>
          <w:sz w:val="24"/>
          <w:szCs w:val="24"/>
        </w:rPr>
        <w:t>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书香酒店集团设计标准指导手册编纂</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b/>
          <w:bCs/>
          <w:color w:val="000000"/>
          <w:sz w:val="24"/>
          <w:szCs w:val="24"/>
          <w:lang w:val="en-US" w:eastAsia="zh-CN"/>
        </w:rPr>
      </w:pPr>
    </w:p>
    <w:p>
      <w:pPr>
        <w:bidi w:val="0"/>
        <w:rPr>
          <w:rFonts w:hint="eastAsia" w:ascii="Times New Roman" w:hAnsi="Times New Roman" w:eastAsia="宋体" w:cs="Times New Roman"/>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rPr>
          <w:rFonts w:hint="eastAsia" w:ascii="仿宋" w:hAnsi="仿宋" w:eastAsia="仿宋" w:cs="仿宋"/>
          <w:b/>
          <w:bCs/>
          <w:color w:val="000000"/>
          <w:sz w:val="24"/>
          <w:szCs w:val="24"/>
          <w:lang w:val="en-US" w:eastAsia="zh-CN"/>
        </w:rPr>
      </w:pPr>
    </w:p>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AdwwlPqQEAADsD&#10;AAAOAAAAAAAAAAEAIAAAACMBAABkcnMvZTJvRG9jLnhtbFBLBQYAAAAABgAGAFkBAAA+BQ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101FDE"/>
    <w:multiLevelType w:val="singleLevel"/>
    <w:tmpl w:val="84101FDE"/>
    <w:lvl w:ilvl="0" w:tentative="0">
      <w:start w:val="1"/>
      <w:numFmt w:val="decimal"/>
      <w:lvlText w:val="(%1)"/>
      <w:lvlJc w:val="left"/>
      <w:pPr>
        <w:ind w:left="425" w:hanging="425"/>
      </w:pPr>
      <w:rPr>
        <w:rFonts w:hint="default"/>
      </w:rPr>
    </w:lvl>
  </w:abstractNum>
  <w:abstractNum w:abstractNumId="1">
    <w:nsid w:val="91C67948"/>
    <w:multiLevelType w:val="singleLevel"/>
    <w:tmpl w:val="91C67948"/>
    <w:lvl w:ilvl="0" w:tentative="0">
      <w:start w:val="1"/>
      <w:numFmt w:val="decimal"/>
      <w:lvlText w:val="(%1)"/>
      <w:lvlJc w:val="left"/>
      <w:pPr>
        <w:ind w:left="425" w:hanging="425"/>
      </w:pPr>
      <w:rPr>
        <w:rFonts w:hint="default"/>
      </w:rPr>
    </w:lvl>
  </w:abstractNum>
  <w:abstractNum w:abstractNumId="2">
    <w:nsid w:val="A6F3AC8F"/>
    <w:multiLevelType w:val="singleLevel"/>
    <w:tmpl w:val="A6F3AC8F"/>
    <w:lvl w:ilvl="0" w:tentative="0">
      <w:start w:val="1"/>
      <w:numFmt w:val="decimal"/>
      <w:lvlText w:val="(%1)"/>
      <w:lvlJc w:val="left"/>
      <w:pPr>
        <w:ind w:left="425" w:hanging="425"/>
      </w:pPr>
      <w:rPr>
        <w:rFonts w:hint="default"/>
      </w:rPr>
    </w:lvl>
  </w:abstractNum>
  <w:abstractNum w:abstractNumId="3">
    <w:nsid w:val="B6E0253B"/>
    <w:multiLevelType w:val="singleLevel"/>
    <w:tmpl w:val="B6E0253B"/>
    <w:lvl w:ilvl="0" w:tentative="0">
      <w:start w:val="1"/>
      <w:numFmt w:val="decimal"/>
      <w:lvlText w:val="(%1)"/>
      <w:lvlJc w:val="left"/>
      <w:pPr>
        <w:ind w:left="425" w:hanging="425"/>
      </w:pPr>
      <w:rPr>
        <w:rFonts w:hint="default"/>
      </w:rPr>
    </w:lvl>
  </w:abstractNum>
  <w:abstractNum w:abstractNumId="4">
    <w:nsid w:val="F05C9F6A"/>
    <w:multiLevelType w:val="singleLevel"/>
    <w:tmpl w:val="F05C9F6A"/>
    <w:lvl w:ilvl="0" w:tentative="0">
      <w:start w:val="2"/>
      <w:numFmt w:val="chineseCounting"/>
      <w:suff w:val="nothing"/>
      <w:lvlText w:val="第%1节、"/>
      <w:lvlJc w:val="left"/>
      <w:rPr>
        <w:rFonts w:hint="eastAsia"/>
      </w:rPr>
    </w:lvl>
  </w:abstractNum>
  <w:abstractNum w:abstractNumId="5">
    <w:nsid w:val="186810B5"/>
    <w:multiLevelType w:val="singleLevel"/>
    <w:tmpl w:val="186810B5"/>
    <w:lvl w:ilvl="0" w:tentative="0">
      <w:start w:val="2"/>
      <w:numFmt w:val="decimal"/>
      <w:suff w:val="nothing"/>
      <w:lvlText w:val="%1、"/>
      <w:lvlJc w:val="left"/>
    </w:lvl>
  </w:abstractNum>
  <w:abstractNum w:abstractNumId="6">
    <w:nsid w:val="1A4FBD14"/>
    <w:multiLevelType w:val="singleLevel"/>
    <w:tmpl w:val="1A4FBD14"/>
    <w:lvl w:ilvl="0" w:tentative="0">
      <w:start w:val="1"/>
      <w:numFmt w:val="decimalEnclosedCircleChinese"/>
      <w:suff w:val="nothing"/>
      <w:lvlText w:val="%1、"/>
      <w:lvlJc w:val="left"/>
      <w:rPr>
        <w:rFonts w:hint="eastAsia"/>
      </w:rPr>
    </w:lvl>
  </w:abstractNum>
  <w:abstractNum w:abstractNumId="7">
    <w:nsid w:val="31A76024"/>
    <w:multiLevelType w:val="singleLevel"/>
    <w:tmpl w:val="31A76024"/>
    <w:lvl w:ilvl="0" w:tentative="0">
      <w:start w:val="1"/>
      <w:numFmt w:val="decimal"/>
      <w:lvlText w:val="(%1)"/>
      <w:lvlJc w:val="left"/>
      <w:pPr>
        <w:ind w:left="425" w:hanging="425"/>
      </w:pPr>
      <w:rPr>
        <w:rFonts w:hint="default"/>
      </w:rPr>
    </w:lvl>
  </w:abstractNum>
  <w:abstractNum w:abstractNumId="8">
    <w:nsid w:val="3CA8AC5A"/>
    <w:multiLevelType w:val="singleLevel"/>
    <w:tmpl w:val="3CA8AC5A"/>
    <w:lvl w:ilvl="0" w:tentative="0">
      <w:start w:val="1"/>
      <w:numFmt w:val="chineseCounting"/>
      <w:suff w:val="nothing"/>
      <w:lvlText w:val="%1、"/>
      <w:lvlJc w:val="left"/>
      <w:rPr>
        <w:rFonts w:hint="eastAsia"/>
      </w:rPr>
    </w:lvl>
  </w:abstractNum>
  <w:abstractNum w:abstractNumId="9">
    <w:nsid w:val="41C29350"/>
    <w:multiLevelType w:val="multilevel"/>
    <w:tmpl w:val="41C29350"/>
    <w:lvl w:ilvl="0" w:tentative="0">
      <w:start w:val="1"/>
      <w:numFmt w:val="decimal"/>
      <w:lvlText w:val="(%1)"/>
      <w:lvlJc w:val="left"/>
      <w:pPr>
        <w:ind w:left="425" w:hanging="425"/>
      </w:pPr>
      <w:rPr>
        <w:rFonts w:hint="default"/>
      </w:rPr>
    </w:lvl>
    <w:lvl w:ilvl="1" w:tentative="0">
      <w:start w:val="1"/>
      <w:numFmt w:val="decimalEnclosedCircleChinese"/>
      <w:lvlText w:val="%2"/>
      <w:lvlJc w:val="left"/>
      <w:pPr>
        <w:tabs>
          <w:tab w:val="left" w:pos="840"/>
        </w:tabs>
        <w:ind w:left="840" w:leftChars="0" w:hanging="420" w:firstLineChars="0"/>
      </w:pPr>
      <w:rPr>
        <w:rFonts w:hint="default"/>
      </w:rPr>
    </w:lvl>
    <w:lvl w:ilvl="2" w:tentative="0">
      <w:start w:val="1"/>
      <w:numFmt w:val="decimal"/>
      <w:lvlText w:val="%3)"/>
      <w:lvlJc w:val="left"/>
      <w:pPr>
        <w:tabs>
          <w:tab w:val="left" w:pos="1260"/>
        </w:tabs>
        <w:ind w:left="1260" w:leftChars="0" w:hanging="420" w:firstLineChars="0"/>
      </w:pPr>
      <w:rPr>
        <w:rFonts w:hint="default"/>
      </w:rPr>
    </w:lvl>
    <w:lvl w:ilvl="3" w:tentative="0">
      <w:start w:val="1"/>
      <w:numFmt w:val="lowerLetter"/>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Roman"/>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Letter"/>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abstractNum w:abstractNumId="10">
    <w:nsid w:val="5A20AA93"/>
    <w:multiLevelType w:val="singleLevel"/>
    <w:tmpl w:val="5A20AA93"/>
    <w:lvl w:ilvl="0" w:tentative="0">
      <w:start w:val="2"/>
      <w:numFmt w:val="chineseCounting"/>
      <w:suff w:val="nothing"/>
      <w:lvlText w:val="第%1章"/>
      <w:lvlJc w:val="left"/>
    </w:lvl>
  </w:abstractNum>
  <w:abstractNum w:abstractNumId="11">
    <w:nsid w:val="5A62A23E"/>
    <w:multiLevelType w:val="singleLevel"/>
    <w:tmpl w:val="5A62A23E"/>
    <w:lvl w:ilvl="0" w:tentative="0">
      <w:start w:val="1"/>
      <w:numFmt w:val="decimal"/>
      <w:lvlText w:val="(%1)"/>
      <w:lvlJc w:val="left"/>
      <w:pPr>
        <w:ind w:left="425" w:hanging="425"/>
      </w:pPr>
      <w:rPr>
        <w:rFonts w:hint="default"/>
      </w:rPr>
    </w:lvl>
  </w:abstractNum>
  <w:abstractNum w:abstractNumId="12">
    <w:nsid w:val="5F23C169"/>
    <w:multiLevelType w:val="singleLevel"/>
    <w:tmpl w:val="5F23C169"/>
    <w:lvl w:ilvl="0" w:tentative="0">
      <w:start w:val="1"/>
      <w:numFmt w:val="decimal"/>
      <w:lvlText w:val="(%1)"/>
      <w:lvlJc w:val="left"/>
      <w:pPr>
        <w:ind w:left="425" w:hanging="425"/>
      </w:pPr>
      <w:rPr>
        <w:rFonts w:hint="default"/>
      </w:rPr>
    </w:lvl>
  </w:abstractNum>
  <w:abstractNum w:abstractNumId="13">
    <w:nsid w:val="7A1F5167"/>
    <w:multiLevelType w:val="multilevel"/>
    <w:tmpl w:val="7A1F5167"/>
    <w:lvl w:ilvl="0" w:tentative="0">
      <w:start w:val="1"/>
      <w:numFmt w:val="decimal"/>
      <w:pStyle w:val="41"/>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abstractNum w:abstractNumId="14">
    <w:nsid w:val="7E7C0950"/>
    <w:multiLevelType w:val="singleLevel"/>
    <w:tmpl w:val="7E7C0950"/>
    <w:lvl w:ilvl="0" w:tentative="0">
      <w:start w:val="1"/>
      <w:numFmt w:val="decimal"/>
      <w:lvlText w:val="(%1)"/>
      <w:lvlJc w:val="left"/>
      <w:pPr>
        <w:ind w:left="425" w:hanging="425"/>
      </w:pPr>
      <w:rPr>
        <w:rFonts w:hint="default"/>
      </w:rPr>
    </w:lvl>
  </w:abstractNum>
  <w:num w:numId="1">
    <w:abstractNumId w:val="13"/>
  </w:num>
  <w:num w:numId="2">
    <w:abstractNumId w:val="10"/>
  </w:num>
  <w:num w:numId="3">
    <w:abstractNumId w:val="6"/>
  </w:num>
  <w:num w:numId="4">
    <w:abstractNumId w:val="4"/>
  </w:num>
  <w:num w:numId="5">
    <w:abstractNumId w:val="8"/>
  </w:num>
  <w:num w:numId="6">
    <w:abstractNumId w:val="5"/>
  </w:num>
  <w:num w:numId="7">
    <w:abstractNumId w:val="3"/>
  </w:num>
  <w:num w:numId="8">
    <w:abstractNumId w:val="7"/>
  </w:num>
  <w:num w:numId="9">
    <w:abstractNumId w:val="2"/>
  </w:num>
  <w:num w:numId="10">
    <w:abstractNumId w:val="14"/>
  </w:num>
  <w:num w:numId="11">
    <w:abstractNumId w:val="1"/>
  </w:num>
  <w:num w:numId="12">
    <w:abstractNumId w:val="12"/>
  </w:num>
  <w:num w:numId="13">
    <w:abstractNumId w:val="9"/>
  </w:num>
  <w:num w:numId="14">
    <w:abstractNumId w:val="0"/>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7762E"/>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1DE5"/>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B5BD1"/>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183EF2"/>
    <w:rsid w:val="02B3467F"/>
    <w:rsid w:val="02E70B0C"/>
    <w:rsid w:val="02F2315A"/>
    <w:rsid w:val="030546F2"/>
    <w:rsid w:val="033F3AC2"/>
    <w:rsid w:val="03B46ED9"/>
    <w:rsid w:val="03C160CD"/>
    <w:rsid w:val="03C42A1C"/>
    <w:rsid w:val="042B7828"/>
    <w:rsid w:val="04350A0D"/>
    <w:rsid w:val="047E4028"/>
    <w:rsid w:val="04923962"/>
    <w:rsid w:val="049669A0"/>
    <w:rsid w:val="04BA2A6D"/>
    <w:rsid w:val="04EF3402"/>
    <w:rsid w:val="053061FF"/>
    <w:rsid w:val="05A02791"/>
    <w:rsid w:val="05D66C49"/>
    <w:rsid w:val="05E02607"/>
    <w:rsid w:val="06275E82"/>
    <w:rsid w:val="0636356B"/>
    <w:rsid w:val="06387885"/>
    <w:rsid w:val="06A44178"/>
    <w:rsid w:val="06AC47FD"/>
    <w:rsid w:val="06BF642B"/>
    <w:rsid w:val="07463C80"/>
    <w:rsid w:val="076B32D4"/>
    <w:rsid w:val="07CD30E4"/>
    <w:rsid w:val="07D23ECC"/>
    <w:rsid w:val="082F0254"/>
    <w:rsid w:val="0856062D"/>
    <w:rsid w:val="091D3F5E"/>
    <w:rsid w:val="094F412C"/>
    <w:rsid w:val="098D0F06"/>
    <w:rsid w:val="099A02B9"/>
    <w:rsid w:val="09AE3F0E"/>
    <w:rsid w:val="09EA5B12"/>
    <w:rsid w:val="09F424AA"/>
    <w:rsid w:val="0A360457"/>
    <w:rsid w:val="0A7C3DA6"/>
    <w:rsid w:val="0B4E5B30"/>
    <w:rsid w:val="0B624E01"/>
    <w:rsid w:val="0C4C4BC4"/>
    <w:rsid w:val="0CCC038B"/>
    <w:rsid w:val="0CF35A6D"/>
    <w:rsid w:val="0D741A78"/>
    <w:rsid w:val="0D87650A"/>
    <w:rsid w:val="0D9F761A"/>
    <w:rsid w:val="0DD643AE"/>
    <w:rsid w:val="0E0541C1"/>
    <w:rsid w:val="0E1B31AF"/>
    <w:rsid w:val="0E620C08"/>
    <w:rsid w:val="0E7A670E"/>
    <w:rsid w:val="0EA07550"/>
    <w:rsid w:val="0EEC098B"/>
    <w:rsid w:val="0F0D584D"/>
    <w:rsid w:val="0F4E0335"/>
    <w:rsid w:val="0F863BE2"/>
    <w:rsid w:val="0FD445F4"/>
    <w:rsid w:val="100911C3"/>
    <w:rsid w:val="101E2384"/>
    <w:rsid w:val="105630BE"/>
    <w:rsid w:val="116F0D88"/>
    <w:rsid w:val="11724B72"/>
    <w:rsid w:val="119D18BB"/>
    <w:rsid w:val="119F47A0"/>
    <w:rsid w:val="11A95A00"/>
    <w:rsid w:val="11C77DB8"/>
    <w:rsid w:val="11D90CB3"/>
    <w:rsid w:val="11FE3433"/>
    <w:rsid w:val="12632863"/>
    <w:rsid w:val="12C80D7F"/>
    <w:rsid w:val="130C13F7"/>
    <w:rsid w:val="132E202D"/>
    <w:rsid w:val="13876628"/>
    <w:rsid w:val="13AD5D4B"/>
    <w:rsid w:val="13B30401"/>
    <w:rsid w:val="13D30726"/>
    <w:rsid w:val="14105332"/>
    <w:rsid w:val="14291F78"/>
    <w:rsid w:val="14E651E0"/>
    <w:rsid w:val="14F733F0"/>
    <w:rsid w:val="14FA4BBC"/>
    <w:rsid w:val="15A62FA2"/>
    <w:rsid w:val="16755A32"/>
    <w:rsid w:val="169B2570"/>
    <w:rsid w:val="171668FF"/>
    <w:rsid w:val="17291035"/>
    <w:rsid w:val="173C598B"/>
    <w:rsid w:val="17846ED2"/>
    <w:rsid w:val="178601D9"/>
    <w:rsid w:val="178F1883"/>
    <w:rsid w:val="17B950B8"/>
    <w:rsid w:val="17FB4C11"/>
    <w:rsid w:val="18056EF7"/>
    <w:rsid w:val="185446B4"/>
    <w:rsid w:val="18D0002E"/>
    <w:rsid w:val="18DC484F"/>
    <w:rsid w:val="19AD68D9"/>
    <w:rsid w:val="1A0C52D9"/>
    <w:rsid w:val="1A267315"/>
    <w:rsid w:val="1AF72300"/>
    <w:rsid w:val="1AFC0475"/>
    <w:rsid w:val="1BC570E4"/>
    <w:rsid w:val="1BDC1168"/>
    <w:rsid w:val="1BFA3660"/>
    <w:rsid w:val="1C58631E"/>
    <w:rsid w:val="1C5F36CE"/>
    <w:rsid w:val="1C850908"/>
    <w:rsid w:val="1CB10A7D"/>
    <w:rsid w:val="1CFF670B"/>
    <w:rsid w:val="1D7A2005"/>
    <w:rsid w:val="1D921633"/>
    <w:rsid w:val="1D9305D0"/>
    <w:rsid w:val="1DAA732B"/>
    <w:rsid w:val="1DB45EFF"/>
    <w:rsid w:val="1DCE40B2"/>
    <w:rsid w:val="1E4C161E"/>
    <w:rsid w:val="1EE62766"/>
    <w:rsid w:val="1EF32E3E"/>
    <w:rsid w:val="1F6024E0"/>
    <w:rsid w:val="207E7F83"/>
    <w:rsid w:val="20C10BA7"/>
    <w:rsid w:val="20E46263"/>
    <w:rsid w:val="210F7AF4"/>
    <w:rsid w:val="21892F84"/>
    <w:rsid w:val="218C3E40"/>
    <w:rsid w:val="21A4008A"/>
    <w:rsid w:val="21D449AB"/>
    <w:rsid w:val="22030B0F"/>
    <w:rsid w:val="22206576"/>
    <w:rsid w:val="228C7812"/>
    <w:rsid w:val="23B12644"/>
    <w:rsid w:val="24716B97"/>
    <w:rsid w:val="2490627B"/>
    <w:rsid w:val="25301B87"/>
    <w:rsid w:val="25A36702"/>
    <w:rsid w:val="25E34D3F"/>
    <w:rsid w:val="268073D4"/>
    <w:rsid w:val="269C3786"/>
    <w:rsid w:val="26AA41CB"/>
    <w:rsid w:val="26B902EA"/>
    <w:rsid w:val="26F040DE"/>
    <w:rsid w:val="271C17A7"/>
    <w:rsid w:val="275C50D1"/>
    <w:rsid w:val="27BB268D"/>
    <w:rsid w:val="27DE63C3"/>
    <w:rsid w:val="27EB7D12"/>
    <w:rsid w:val="281B66B2"/>
    <w:rsid w:val="28286E54"/>
    <w:rsid w:val="28367BE4"/>
    <w:rsid w:val="2898525C"/>
    <w:rsid w:val="28C46E10"/>
    <w:rsid w:val="29246921"/>
    <w:rsid w:val="2942183D"/>
    <w:rsid w:val="29BF3475"/>
    <w:rsid w:val="2A2969F4"/>
    <w:rsid w:val="2A541F38"/>
    <w:rsid w:val="2A56475E"/>
    <w:rsid w:val="2A9030DF"/>
    <w:rsid w:val="2AD14C79"/>
    <w:rsid w:val="2B342EB3"/>
    <w:rsid w:val="2B683A70"/>
    <w:rsid w:val="2B88597B"/>
    <w:rsid w:val="2C3B11CB"/>
    <w:rsid w:val="2C7B2CA8"/>
    <w:rsid w:val="2C91378A"/>
    <w:rsid w:val="2CA4188C"/>
    <w:rsid w:val="2CAC0903"/>
    <w:rsid w:val="2CDF2662"/>
    <w:rsid w:val="2CE22EAC"/>
    <w:rsid w:val="2CF97D51"/>
    <w:rsid w:val="2D5C1B84"/>
    <w:rsid w:val="2D9B09E0"/>
    <w:rsid w:val="2DCC337E"/>
    <w:rsid w:val="2E1D5AD2"/>
    <w:rsid w:val="2E2267E9"/>
    <w:rsid w:val="2E367DBC"/>
    <w:rsid w:val="2E8E6225"/>
    <w:rsid w:val="2E9500F1"/>
    <w:rsid w:val="2F344DC8"/>
    <w:rsid w:val="2F51066A"/>
    <w:rsid w:val="2F8E0489"/>
    <w:rsid w:val="30695537"/>
    <w:rsid w:val="30AB19EF"/>
    <w:rsid w:val="317D687A"/>
    <w:rsid w:val="31906EAD"/>
    <w:rsid w:val="31B276A4"/>
    <w:rsid w:val="31D25200"/>
    <w:rsid w:val="32070663"/>
    <w:rsid w:val="32125E52"/>
    <w:rsid w:val="32701839"/>
    <w:rsid w:val="32C73A5B"/>
    <w:rsid w:val="32FC67D3"/>
    <w:rsid w:val="33694E96"/>
    <w:rsid w:val="33697DC8"/>
    <w:rsid w:val="3370332B"/>
    <w:rsid w:val="337F0129"/>
    <w:rsid w:val="338E6DE1"/>
    <w:rsid w:val="33CC1E01"/>
    <w:rsid w:val="34313157"/>
    <w:rsid w:val="345A3CFF"/>
    <w:rsid w:val="346C7E24"/>
    <w:rsid w:val="34AA1F07"/>
    <w:rsid w:val="34E66245"/>
    <w:rsid w:val="35223677"/>
    <w:rsid w:val="35AA136C"/>
    <w:rsid w:val="35CB0F7E"/>
    <w:rsid w:val="35DD1ABA"/>
    <w:rsid w:val="35EC631A"/>
    <w:rsid w:val="365D72CC"/>
    <w:rsid w:val="36637E92"/>
    <w:rsid w:val="36B73C9E"/>
    <w:rsid w:val="370E4363"/>
    <w:rsid w:val="3732203A"/>
    <w:rsid w:val="375F2FDB"/>
    <w:rsid w:val="37AA5893"/>
    <w:rsid w:val="37DF4DA7"/>
    <w:rsid w:val="37EC067D"/>
    <w:rsid w:val="37F56C63"/>
    <w:rsid w:val="383E30B1"/>
    <w:rsid w:val="38B45619"/>
    <w:rsid w:val="38C37DE2"/>
    <w:rsid w:val="38F14191"/>
    <w:rsid w:val="39124837"/>
    <w:rsid w:val="3A537EB4"/>
    <w:rsid w:val="3B4746CE"/>
    <w:rsid w:val="3B812076"/>
    <w:rsid w:val="3BD151ED"/>
    <w:rsid w:val="3BD21407"/>
    <w:rsid w:val="3C5052F4"/>
    <w:rsid w:val="3C731B93"/>
    <w:rsid w:val="3CD6440B"/>
    <w:rsid w:val="3D584B2F"/>
    <w:rsid w:val="3D607ACA"/>
    <w:rsid w:val="3D7B4D40"/>
    <w:rsid w:val="3D9C350E"/>
    <w:rsid w:val="3DBD109D"/>
    <w:rsid w:val="3E097D7B"/>
    <w:rsid w:val="3E7A3D4A"/>
    <w:rsid w:val="3EFC552A"/>
    <w:rsid w:val="3F4D7D97"/>
    <w:rsid w:val="3F701693"/>
    <w:rsid w:val="3FA33AD8"/>
    <w:rsid w:val="3FE810FD"/>
    <w:rsid w:val="403D46E0"/>
    <w:rsid w:val="4073181B"/>
    <w:rsid w:val="409D363B"/>
    <w:rsid w:val="41103E9B"/>
    <w:rsid w:val="41F07EC1"/>
    <w:rsid w:val="41F1491B"/>
    <w:rsid w:val="422C2F00"/>
    <w:rsid w:val="43110884"/>
    <w:rsid w:val="4375684E"/>
    <w:rsid w:val="439F7BE7"/>
    <w:rsid w:val="43AA0AE4"/>
    <w:rsid w:val="43AF68F1"/>
    <w:rsid w:val="43F21023"/>
    <w:rsid w:val="442B216A"/>
    <w:rsid w:val="4480471D"/>
    <w:rsid w:val="449017FE"/>
    <w:rsid w:val="45424C4A"/>
    <w:rsid w:val="456C74AC"/>
    <w:rsid w:val="45875DE0"/>
    <w:rsid w:val="46337FCA"/>
    <w:rsid w:val="46831EA8"/>
    <w:rsid w:val="46D451E1"/>
    <w:rsid w:val="46E94485"/>
    <w:rsid w:val="47792559"/>
    <w:rsid w:val="48557862"/>
    <w:rsid w:val="48893B70"/>
    <w:rsid w:val="48C377A6"/>
    <w:rsid w:val="49074C73"/>
    <w:rsid w:val="490C14AE"/>
    <w:rsid w:val="492A4491"/>
    <w:rsid w:val="498656A9"/>
    <w:rsid w:val="498A51A5"/>
    <w:rsid w:val="49907691"/>
    <w:rsid w:val="49CD4389"/>
    <w:rsid w:val="49E44009"/>
    <w:rsid w:val="49EE3483"/>
    <w:rsid w:val="49F477ED"/>
    <w:rsid w:val="49FB0086"/>
    <w:rsid w:val="4AA00BE0"/>
    <w:rsid w:val="4ACC77BD"/>
    <w:rsid w:val="4AF90EFC"/>
    <w:rsid w:val="4B211C49"/>
    <w:rsid w:val="4B600068"/>
    <w:rsid w:val="4BA05CCB"/>
    <w:rsid w:val="4BE0110F"/>
    <w:rsid w:val="4C1079C5"/>
    <w:rsid w:val="4C2B6F87"/>
    <w:rsid w:val="4C704F30"/>
    <w:rsid w:val="4CDB63CC"/>
    <w:rsid w:val="4D034B13"/>
    <w:rsid w:val="4D5166E5"/>
    <w:rsid w:val="4D98605B"/>
    <w:rsid w:val="4D9A3C5A"/>
    <w:rsid w:val="4D9B04EA"/>
    <w:rsid w:val="4DE034F7"/>
    <w:rsid w:val="4E9D154C"/>
    <w:rsid w:val="4ECE20AE"/>
    <w:rsid w:val="4EDD4EA7"/>
    <w:rsid w:val="4EF61CFF"/>
    <w:rsid w:val="4F5E27E2"/>
    <w:rsid w:val="4FD5143E"/>
    <w:rsid w:val="4FFF6617"/>
    <w:rsid w:val="50502A0C"/>
    <w:rsid w:val="509E4071"/>
    <w:rsid w:val="50D24405"/>
    <w:rsid w:val="50FF30BE"/>
    <w:rsid w:val="51007A44"/>
    <w:rsid w:val="510D4F58"/>
    <w:rsid w:val="518C2C03"/>
    <w:rsid w:val="518D318F"/>
    <w:rsid w:val="52147DB4"/>
    <w:rsid w:val="5251274D"/>
    <w:rsid w:val="52722A63"/>
    <w:rsid w:val="530071CC"/>
    <w:rsid w:val="53157485"/>
    <w:rsid w:val="5319393D"/>
    <w:rsid w:val="532C0C91"/>
    <w:rsid w:val="53CE15C0"/>
    <w:rsid w:val="53DD5FC6"/>
    <w:rsid w:val="543A2922"/>
    <w:rsid w:val="54847773"/>
    <w:rsid w:val="548D1494"/>
    <w:rsid w:val="54B866C9"/>
    <w:rsid w:val="54FA1CA7"/>
    <w:rsid w:val="556870FD"/>
    <w:rsid w:val="558619EB"/>
    <w:rsid w:val="55887DF1"/>
    <w:rsid w:val="55973D2A"/>
    <w:rsid w:val="559C7E5C"/>
    <w:rsid w:val="55A10B51"/>
    <w:rsid w:val="55DF25A4"/>
    <w:rsid w:val="56692999"/>
    <w:rsid w:val="571B6EA4"/>
    <w:rsid w:val="57D14C02"/>
    <w:rsid w:val="57FD4FE7"/>
    <w:rsid w:val="580F7DC7"/>
    <w:rsid w:val="586C64CB"/>
    <w:rsid w:val="589C290E"/>
    <w:rsid w:val="59752E25"/>
    <w:rsid w:val="59817CCE"/>
    <w:rsid w:val="598A5175"/>
    <w:rsid w:val="599256CF"/>
    <w:rsid w:val="599A3C33"/>
    <w:rsid w:val="59A82311"/>
    <w:rsid w:val="5A236EC2"/>
    <w:rsid w:val="5A43340D"/>
    <w:rsid w:val="5A450F6B"/>
    <w:rsid w:val="5A613734"/>
    <w:rsid w:val="5A6E519E"/>
    <w:rsid w:val="5B873401"/>
    <w:rsid w:val="5B8A3610"/>
    <w:rsid w:val="5BAF3B52"/>
    <w:rsid w:val="5BC0351F"/>
    <w:rsid w:val="5C625009"/>
    <w:rsid w:val="5C745E91"/>
    <w:rsid w:val="5C964D3C"/>
    <w:rsid w:val="5CBF1249"/>
    <w:rsid w:val="5CEB2E23"/>
    <w:rsid w:val="5D070CE7"/>
    <w:rsid w:val="5D5274A2"/>
    <w:rsid w:val="5DB32FFD"/>
    <w:rsid w:val="5DB837FB"/>
    <w:rsid w:val="5DD54524"/>
    <w:rsid w:val="5E60516F"/>
    <w:rsid w:val="5E8F4F42"/>
    <w:rsid w:val="5E95021A"/>
    <w:rsid w:val="5EA66F51"/>
    <w:rsid w:val="5F213563"/>
    <w:rsid w:val="5F53513A"/>
    <w:rsid w:val="5F742377"/>
    <w:rsid w:val="5F9B1D33"/>
    <w:rsid w:val="601F2EA1"/>
    <w:rsid w:val="60552271"/>
    <w:rsid w:val="607B3751"/>
    <w:rsid w:val="609B01A1"/>
    <w:rsid w:val="60D26CFA"/>
    <w:rsid w:val="60E046A2"/>
    <w:rsid w:val="6104408E"/>
    <w:rsid w:val="612239EA"/>
    <w:rsid w:val="616B6389"/>
    <w:rsid w:val="6180007C"/>
    <w:rsid w:val="61C071FF"/>
    <w:rsid w:val="61D51E88"/>
    <w:rsid w:val="61EB5F5B"/>
    <w:rsid w:val="627231E0"/>
    <w:rsid w:val="6341693F"/>
    <w:rsid w:val="63474995"/>
    <w:rsid w:val="636043CA"/>
    <w:rsid w:val="637827B5"/>
    <w:rsid w:val="63C40DE8"/>
    <w:rsid w:val="63EF5947"/>
    <w:rsid w:val="641607BE"/>
    <w:rsid w:val="64252099"/>
    <w:rsid w:val="642E083B"/>
    <w:rsid w:val="642E478D"/>
    <w:rsid w:val="64725D11"/>
    <w:rsid w:val="64CB2C98"/>
    <w:rsid w:val="64D17D81"/>
    <w:rsid w:val="64E22FFD"/>
    <w:rsid w:val="659A7E17"/>
    <w:rsid w:val="65F57153"/>
    <w:rsid w:val="664E76E7"/>
    <w:rsid w:val="665E0C30"/>
    <w:rsid w:val="669303D9"/>
    <w:rsid w:val="669B4DE4"/>
    <w:rsid w:val="66B172B2"/>
    <w:rsid w:val="67077ED9"/>
    <w:rsid w:val="67162867"/>
    <w:rsid w:val="67936A17"/>
    <w:rsid w:val="67950753"/>
    <w:rsid w:val="67A13562"/>
    <w:rsid w:val="67CE72FC"/>
    <w:rsid w:val="67E02E9E"/>
    <w:rsid w:val="67F6765E"/>
    <w:rsid w:val="695E2FDB"/>
    <w:rsid w:val="6A285CE3"/>
    <w:rsid w:val="6A756629"/>
    <w:rsid w:val="6AFF3B23"/>
    <w:rsid w:val="6B591C27"/>
    <w:rsid w:val="6BA862BD"/>
    <w:rsid w:val="6BF87318"/>
    <w:rsid w:val="6C1D1673"/>
    <w:rsid w:val="6C222A6F"/>
    <w:rsid w:val="6CB92937"/>
    <w:rsid w:val="6CB93D66"/>
    <w:rsid w:val="6D22664C"/>
    <w:rsid w:val="6D3911BE"/>
    <w:rsid w:val="6E9B756B"/>
    <w:rsid w:val="6FE60CE4"/>
    <w:rsid w:val="6FFD78D4"/>
    <w:rsid w:val="702E2370"/>
    <w:rsid w:val="705928DA"/>
    <w:rsid w:val="708915EC"/>
    <w:rsid w:val="70BD080D"/>
    <w:rsid w:val="713B5C96"/>
    <w:rsid w:val="716235F4"/>
    <w:rsid w:val="718B5632"/>
    <w:rsid w:val="719F083E"/>
    <w:rsid w:val="71C3638A"/>
    <w:rsid w:val="71CF1C1D"/>
    <w:rsid w:val="71D06DDE"/>
    <w:rsid w:val="720311C6"/>
    <w:rsid w:val="72730101"/>
    <w:rsid w:val="72D2794E"/>
    <w:rsid w:val="72DC67C8"/>
    <w:rsid w:val="7321788E"/>
    <w:rsid w:val="732E08E5"/>
    <w:rsid w:val="735D5A77"/>
    <w:rsid w:val="737F5D8C"/>
    <w:rsid w:val="73A733BB"/>
    <w:rsid w:val="749116C1"/>
    <w:rsid w:val="74E819FA"/>
    <w:rsid w:val="75192DAF"/>
    <w:rsid w:val="75265064"/>
    <w:rsid w:val="75846851"/>
    <w:rsid w:val="75AE223D"/>
    <w:rsid w:val="76046BE0"/>
    <w:rsid w:val="766D2A87"/>
    <w:rsid w:val="768B77ED"/>
    <w:rsid w:val="769A13A3"/>
    <w:rsid w:val="770601E9"/>
    <w:rsid w:val="7714539C"/>
    <w:rsid w:val="774760CB"/>
    <w:rsid w:val="779E2A31"/>
    <w:rsid w:val="77F920DB"/>
    <w:rsid w:val="7827349A"/>
    <w:rsid w:val="79D346EE"/>
    <w:rsid w:val="7A644347"/>
    <w:rsid w:val="7B09414F"/>
    <w:rsid w:val="7B1D42EB"/>
    <w:rsid w:val="7B6B1ACE"/>
    <w:rsid w:val="7BFA1B51"/>
    <w:rsid w:val="7CF72D47"/>
    <w:rsid w:val="7CFA5801"/>
    <w:rsid w:val="7D49411F"/>
    <w:rsid w:val="7E025758"/>
    <w:rsid w:val="7E3F627C"/>
    <w:rsid w:val="7E4F6F7C"/>
    <w:rsid w:val="7E6606C5"/>
    <w:rsid w:val="7ED76318"/>
    <w:rsid w:val="7F165714"/>
    <w:rsid w:val="7F336992"/>
    <w:rsid w:val="7F6233FC"/>
    <w:rsid w:val="7F781D3D"/>
    <w:rsid w:val="7F7C75FD"/>
    <w:rsid w:val="7F826130"/>
    <w:rsid w:val="7F9040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23">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8"/>
    <w:qFormat/>
    <w:uiPriority w:val="0"/>
    <w:rPr>
      <w:rFonts w:ascii="宋体" w:hAnsi="Courier New"/>
      <w:szCs w:val="20"/>
    </w:rPr>
  </w:style>
  <w:style w:type="paragraph" w:styleId="11">
    <w:name w:val="Date"/>
    <w:basedOn w:val="1"/>
    <w:next w:val="1"/>
    <w:qFormat/>
    <w:uiPriority w:val="0"/>
    <w:pPr>
      <w:ind w:left="100"/>
    </w:pPr>
  </w:style>
  <w:style w:type="paragraph" w:styleId="12">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3">
    <w:name w:val="Balloon Text"/>
    <w:basedOn w:val="1"/>
    <w:link w:val="33"/>
    <w:unhideWhenUsed/>
    <w:qFormat/>
    <w:uiPriority w:val="0"/>
    <w:rPr>
      <w:sz w:val="18"/>
      <w:szCs w:val="18"/>
    </w:rPr>
  </w:style>
  <w:style w:type="paragraph" w:styleId="14">
    <w:name w:val="footer"/>
    <w:basedOn w:val="1"/>
    <w:link w:val="27"/>
    <w:qFormat/>
    <w:uiPriority w:val="0"/>
    <w:pPr>
      <w:tabs>
        <w:tab w:val="center" w:pos="4153"/>
        <w:tab w:val="right" w:pos="8306"/>
      </w:tabs>
      <w:snapToGrid w:val="0"/>
      <w:jc w:val="left"/>
    </w:pPr>
    <w:rPr>
      <w:sz w:val="18"/>
      <w:szCs w:val="18"/>
    </w:rPr>
  </w:style>
  <w:style w:type="paragraph" w:styleId="15">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7">
    <w:name w:val="Body Text Indent 3"/>
    <w:basedOn w:val="1"/>
    <w:unhideWhenUsed/>
    <w:qFormat/>
    <w:uiPriority w:val="0"/>
    <w:pPr>
      <w:ind w:left="150"/>
    </w:pPr>
    <w:rPr>
      <w:sz w:val="28"/>
    </w:rPr>
  </w:style>
  <w:style w:type="paragraph" w:styleId="18">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0">
    <w:name w:val="Title"/>
    <w:basedOn w:val="1"/>
    <w:next w:val="1"/>
    <w:link w:val="38"/>
    <w:qFormat/>
    <w:uiPriority w:val="0"/>
    <w:pPr>
      <w:spacing w:before="240" w:after="60"/>
      <w:jc w:val="center"/>
      <w:outlineLvl w:val="0"/>
    </w:pPr>
    <w:rPr>
      <w:rFonts w:asciiTheme="majorHAnsi" w:hAnsiTheme="majorHAnsi" w:cstheme="majorBidi"/>
      <w:b/>
      <w:bCs/>
      <w:sz w:val="32"/>
      <w:szCs w:val="32"/>
    </w:rPr>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Hyperlink"/>
    <w:basedOn w:val="23"/>
    <w:unhideWhenUsed/>
    <w:qFormat/>
    <w:uiPriority w:val="99"/>
    <w:rPr>
      <w:color w:val="0563C1" w:themeColor="hyperlink"/>
      <w:u w:val="single"/>
      <w14:textFill>
        <w14:solidFill>
          <w14:schemeClr w14:val="hlink"/>
        </w14:solidFill>
      </w14:textFill>
    </w:rPr>
  </w:style>
  <w:style w:type="character" w:styleId="25">
    <w:name w:val="annotation reference"/>
    <w:basedOn w:val="23"/>
    <w:unhideWhenUsed/>
    <w:qFormat/>
    <w:uiPriority w:val="0"/>
    <w:rPr>
      <w:sz w:val="21"/>
      <w:szCs w:val="21"/>
    </w:rPr>
  </w:style>
  <w:style w:type="character" w:customStyle="1" w:styleId="26">
    <w:name w:val="页眉 Char"/>
    <w:basedOn w:val="23"/>
    <w:link w:val="15"/>
    <w:qFormat/>
    <w:uiPriority w:val="0"/>
    <w:rPr>
      <w:kern w:val="2"/>
      <w:sz w:val="18"/>
      <w:szCs w:val="18"/>
    </w:rPr>
  </w:style>
  <w:style w:type="character" w:customStyle="1" w:styleId="27">
    <w:name w:val="页脚 Char"/>
    <w:basedOn w:val="23"/>
    <w:link w:val="14"/>
    <w:qFormat/>
    <w:uiPriority w:val="0"/>
    <w:rPr>
      <w:kern w:val="2"/>
      <w:sz w:val="18"/>
      <w:szCs w:val="18"/>
    </w:rPr>
  </w:style>
  <w:style w:type="character" w:customStyle="1" w:styleId="28">
    <w:name w:val="纯文本 Char"/>
    <w:basedOn w:val="23"/>
    <w:link w:val="10"/>
    <w:qFormat/>
    <w:uiPriority w:val="0"/>
    <w:rPr>
      <w:rFonts w:ascii="宋体" w:hAnsi="Courier New"/>
      <w:kern w:val="2"/>
      <w:sz w:val="21"/>
    </w:rPr>
  </w:style>
  <w:style w:type="character" w:customStyle="1" w:styleId="29">
    <w:name w:val="纯文本 Char1"/>
    <w:basedOn w:val="23"/>
    <w:qFormat/>
    <w:uiPriority w:val="0"/>
    <w:rPr>
      <w:rFonts w:ascii="宋体" w:hAnsi="Courier New" w:cs="Courier New"/>
      <w:kern w:val="2"/>
      <w:sz w:val="21"/>
      <w:szCs w:val="21"/>
    </w:rPr>
  </w:style>
  <w:style w:type="paragraph" w:customStyle="1" w:styleId="30">
    <w:name w:val="列出段落1"/>
    <w:basedOn w:val="1"/>
    <w:unhideWhenUsed/>
    <w:qFormat/>
    <w:uiPriority w:val="99"/>
    <w:pPr>
      <w:ind w:firstLine="420" w:firstLineChars="200"/>
    </w:pPr>
  </w:style>
  <w:style w:type="paragraph" w:customStyle="1" w:styleId="31">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Blockquote"/>
    <w:basedOn w:val="1"/>
    <w:qFormat/>
    <w:uiPriority w:val="0"/>
    <w:pPr>
      <w:autoSpaceDE w:val="0"/>
      <w:autoSpaceDN w:val="0"/>
      <w:adjustRightInd w:val="0"/>
      <w:ind w:left="360" w:right="360"/>
      <w:jc w:val="left"/>
    </w:pPr>
    <w:rPr>
      <w:kern w:val="0"/>
      <w:sz w:val="24"/>
      <w:szCs w:val="20"/>
    </w:rPr>
  </w:style>
  <w:style w:type="character" w:customStyle="1" w:styleId="33">
    <w:name w:val="批注框文本 Char"/>
    <w:basedOn w:val="23"/>
    <w:link w:val="13"/>
    <w:semiHidden/>
    <w:qFormat/>
    <w:uiPriority w:val="0"/>
    <w:rPr>
      <w:kern w:val="2"/>
      <w:sz w:val="18"/>
      <w:szCs w:val="18"/>
    </w:rPr>
  </w:style>
  <w:style w:type="paragraph" w:customStyle="1" w:styleId="34">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5">
    <w:name w:val="cjk"/>
    <w:basedOn w:val="1"/>
    <w:qFormat/>
    <w:uiPriority w:val="0"/>
    <w:pPr>
      <w:spacing w:before="284" w:after="100" w:afterAutospacing="1" w:line="360" w:lineRule="auto"/>
    </w:pPr>
    <w:rPr>
      <w:sz w:val="22"/>
    </w:rPr>
  </w:style>
  <w:style w:type="paragraph" w:customStyle="1" w:styleId="36">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37">
    <w:name w:val="List Paragraph"/>
    <w:basedOn w:val="1"/>
    <w:unhideWhenUsed/>
    <w:qFormat/>
    <w:uiPriority w:val="99"/>
    <w:pPr>
      <w:ind w:firstLine="420" w:firstLineChars="200"/>
    </w:pPr>
  </w:style>
  <w:style w:type="character" w:customStyle="1" w:styleId="38">
    <w:name w:val="标题 Char"/>
    <w:basedOn w:val="23"/>
    <w:link w:val="20"/>
    <w:qFormat/>
    <w:uiPriority w:val="0"/>
    <w:rPr>
      <w:rFonts w:asciiTheme="majorHAnsi" w:hAnsiTheme="majorHAnsi" w:cstheme="majorBidi"/>
      <w:b/>
      <w:bCs/>
      <w:kern w:val="2"/>
      <w:sz w:val="32"/>
      <w:szCs w:val="32"/>
    </w:rPr>
  </w:style>
  <w:style w:type="character" w:customStyle="1" w:styleId="39">
    <w:name w:val="标题 1 Char"/>
    <w:basedOn w:val="23"/>
    <w:link w:val="2"/>
    <w:qFormat/>
    <w:uiPriority w:val="0"/>
    <w:rPr>
      <w:b/>
      <w:bCs/>
      <w:kern w:val="44"/>
      <w:sz w:val="44"/>
      <w:szCs w:val="44"/>
    </w:rPr>
  </w:style>
  <w:style w:type="paragraph" w:customStyle="1" w:styleId="4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41">
    <w:name w:val="正文编号"/>
    <w:basedOn w:val="1"/>
    <w:next w:val="1"/>
    <w:qFormat/>
    <w:uiPriority w:val="0"/>
    <w:pPr>
      <w:widowControl/>
      <w:numPr>
        <w:ilvl w:val="0"/>
        <w:numId w:val="1"/>
      </w:numPr>
      <w:spacing w:line="360" w:lineRule="auto"/>
    </w:pPr>
    <w:rPr>
      <w:rFonts w:ascii="Calibri" w:hAnsi="Calibri"/>
      <w:kern w:val="0"/>
      <w:sz w:val="24"/>
      <w:szCs w:val="22"/>
    </w:rPr>
  </w:style>
  <w:style w:type="character" w:customStyle="1" w:styleId="42">
    <w:name w:val="font01"/>
    <w:basedOn w:val="23"/>
    <w:qFormat/>
    <w:uiPriority w:val="0"/>
    <w:rPr>
      <w:rFonts w:hint="eastAsia" w:ascii="黑体" w:hAnsi="宋体" w:eastAsia="黑体" w:cs="黑体"/>
      <w:color w:val="FF0000"/>
      <w:sz w:val="18"/>
      <w:szCs w:val="18"/>
      <w:u w:val="none"/>
    </w:rPr>
  </w:style>
  <w:style w:type="character" w:customStyle="1" w:styleId="43">
    <w:name w:val="font11"/>
    <w:basedOn w:val="23"/>
    <w:qFormat/>
    <w:uiPriority w:val="0"/>
    <w:rPr>
      <w:rFonts w:hint="eastAsia" w:ascii="黑体" w:hAnsi="宋体" w:eastAsia="黑体" w:cs="黑体"/>
      <w:color w:val="000000"/>
      <w:sz w:val="18"/>
      <w:szCs w:val="18"/>
      <w:u w:val="none"/>
    </w:rPr>
  </w:style>
  <w:style w:type="character" w:customStyle="1" w:styleId="44">
    <w:name w:val="font51"/>
    <w:basedOn w:val="23"/>
    <w:qFormat/>
    <w:uiPriority w:val="0"/>
    <w:rPr>
      <w:rFonts w:hint="eastAsia" w:ascii="黑体" w:hAnsi="宋体" w:eastAsia="黑体" w:cs="黑体"/>
      <w:color w:val="000000"/>
      <w:sz w:val="18"/>
      <w:szCs w:val="18"/>
      <w:u w:val="none"/>
    </w:rPr>
  </w:style>
  <w:style w:type="paragraph" w:customStyle="1" w:styleId="45">
    <w:name w:val="纯文本1"/>
    <w:basedOn w:val="1"/>
    <w:qFormat/>
    <w:uiPriority w:val="0"/>
    <w:pPr>
      <w:widowControl w:val="0"/>
      <w:jc w:val="both"/>
    </w:pPr>
    <w:rPr>
      <w:rFonts w:ascii="宋体" w:hAnsi="宋体" w:eastAsia="楷体_GB2312"/>
      <w:kern w:val="1"/>
      <w:sz w:val="28"/>
      <w:szCs w:val="20"/>
    </w:rPr>
  </w:style>
  <w:style w:type="paragraph" w:customStyle="1" w:styleId="46">
    <w:name w:val="Plain Text1"/>
    <w:basedOn w:val="1"/>
    <w:qFormat/>
    <w:uiPriority w:val="0"/>
    <w:pPr>
      <w:widowControl w:val="0"/>
      <w:jc w:val="both"/>
    </w:pPr>
    <w:rPr>
      <w:rFonts w:ascii="宋体" w:hAnsi="宋体" w:eastAsia="楷体_GB2312"/>
      <w:kern w:val="1"/>
      <w:sz w:val="28"/>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30</Pages>
  <Words>2558</Words>
  <Characters>14587</Characters>
  <Lines>121</Lines>
  <Paragraphs>34</Paragraphs>
  <TotalTime>2</TotalTime>
  <ScaleCrop>false</ScaleCrop>
  <LinksUpToDate>false</LinksUpToDate>
  <CharactersWithSpaces>17111</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2017-12-04T02:17:00Z</cp:lastPrinted>
  <dcterms:modified xsi:type="dcterms:W3CDTF">2020-01-10T02:22:37Z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