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rPr>
        <w:t>SXCG201905-C-102</w:t>
      </w: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项目名称：胥城大厦西餐厅活动家具采购项目</w:t>
      </w:r>
    </w:p>
    <w:p>
      <w:pPr>
        <w:overflowPunct w:val="0"/>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苏州胥城大厦有限公司</w:t>
      </w:r>
      <w:r>
        <w:rPr>
          <w:rFonts w:hint="eastAsia" w:ascii="仿宋" w:hAnsi="仿宋" w:eastAsia="仿宋" w:cs="仿宋"/>
          <w:color w:val="000000"/>
          <w:sz w:val="28"/>
          <w:szCs w:val="28"/>
        </w:rPr>
        <w:t xml:space="preserve"> </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2019</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05</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09</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39"/>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_Toc17159 </w:instrText>
      </w:r>
      <w:r>
        <w:rPr>
          <w:rFonts w:hint="eastAsia" w:ascii="仿宋" w:hAnsi="仿宋" w:eastAsia="仿宋" w:cs="仿宋"/>
        </w:rPr>
        <w:fldChar w:fldCharType="separate"/>
      </w:r>
      <w:r>
        <w:rPr>
          <w:rFonts w:hint="eastAsia" w:ascii="仿宋" w:hAnsi="仿宋" w:eastAsia="仿宋" w:cs="仿宋"/>
        </w:rPr>
        <w:t>第一章</w:t>
      </w:r>
      <w:r>
        <w:rPr>
          <w:rFonts w:hint="eastAsia" w:ascii="仿宋" w:hAnsi="仿宋" w:eastAsia="仿宋" w:cs="仿宋"/>
          <w:lang w:val="en-US" w:eastAsia="zh-CN"/>
        </w:rPr>
        <w:t xml:space="preserve"> </w:t>
      </w:r>
      <w:r>
        <w:rPr>
          <w:rFonts w:hint="eastAsia" w:ascii="仿宋" w:hAnsi="仿宋" w:eastAsia="仿宋" w:cs="仿宋"/>
        </w:rPr>
        <w:t>、投标邀请函</w:t>
      </w:r>
      <w:r>
        <w:tab/>
      </w:r>
      <w:r>
        <w:fldChar w:fldCharType="begin"/>
      </w:r>
      <w:r>
        <w:instrText xml:space="preserve"> PAGEREF _Toc17159 </w:instrText>
      </w:r>
      <w:r>
        <w:fldChar w:fldCharType="separate"/>
      </w:r>
      <w:r>
        <w:t>3</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_Toc10185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_Toc10185 </w:instrText>
      </w:r>
      <w:r>
        <w:fldChar w:fldCharType="separate"/>
      </w:r>
      <w:r>
        <w:t>4</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_Toc8930 </w:instrText>
      </w:r>
      <w:r>
        <w:rPr>
          <w:rFonts w:hint="eastAsia" w:ascii="仿宋" w:hAnsi="仿宋" w:eastAsia="仿宋" w:cs="仿宋"/>
        </w:rPr>
        <w:fldChar w:fldCharType="separate"/>
      </w:r>
      <w:r>
        <w:rPr>
          <w:rFonts w:hint="eastAsia" w:ascii="仿宋" w:hAnsi="仿宋" w:eastAsia="仿宋" w:cs="仿宋"/>
          <w:lang w:val="en-US" w:eastAsia="zh-CN"/>
        </w:rPr>
        <w:t>第三章 、合同主要条款</w:t>
      </w:r>
      <w:r>
        <w:tab/>
      </w:r>
      <w:r>
        <w:fldChar w:fldCharType="begin"/>
      </w:r>
      <w:r>
        <w:instrText xml:space="preserve"> PAGEREF _Toc8930 </w:instrText>
      </w:r>
      <w:r>
        <w:fldChar w:fldCharType="separate"/>
      </w:r>
      <w:r>
        <w:t>8</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_Toc10344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章、投标文件封面格式</w:t>
      </w:r>
      <w:r>
        <w:tab/>
      </w:r>
      <w:r>
        <w:fldChar w:fldCharType="begin"/>
      </w:r>
      <w:r>
        <w:instrText xml:space="preserve"> PAGEREF _Toc10344 </w:instrText>
      </w:r>
      <w:r>
        <w:fldChar w:fldCharType="separate"/>
      </w:r>
      <w:r>
        <w:t>12</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_Toc6805 </w:instrText>
      </w:r>
      <w:r>
        <w:rPr>
          <w:rFonts w:hint="eastAsia" w:ascii="仿宋" w:hAnsi="仿宋" w:eastAsia="仿宋" w:cs="仿宋"/>
        </w:rPr>
        <w:fldChar w:fldCharType="separate"/>
      </w:r>
      <w:r>
        <w:rPr>
          <w:rFonts w:hint="eastAsia" w:ascii="仿宋" w:hAnsi="仿宋" w:eastAsia="仿宋" w:cs="仿宋"/>
          <w:lang w:eastAsia="zh-CN"/>
        </w:rPr>
        <w:t>第五章、附件</w:t>
      </w:r>
      <w:r>
        <w:tab/>
      </w:r>
      <w:r>
        <w:fldChar w:fldCharType="begin"/>
      </w:r>
      <w:r>
        <w:instrText xml:space="preserve"> PAGEREF _Toc6805 </w:instrText>
      </w:r>
      <w:r>
        <w:fldChar w:fldCharType="separate"/>
      </w:r>
      <w:r>
        <w:t>14</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19"/>
        <w:jc w:val="center"/>
        <w:rPr>
          <w:rFonts w:hint="eastAsia" w:ascii="仿宋" w:hAnsi="仿宋" w:eastAsia="仿宋" w:cs="仿宋"/>
        </w:rPr>
      </w:pPr>
      <w:bookmarkStart w:id="0" w:name="_Toc4118"/>
      <w:bookmarkStart w:id="1" w:name="_Toc17159"/>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胥城大厦西餐厅活动家具采购项目</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SXCG201905-C-102</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评标方式：选择合理低价者进行合作（同时综合考虑报价单位的综合能力）</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rPr>
      </w:pPr>
      <w:r>
        <w:rPr>
          <w:rFonts w:hint="eastAsia" w:ascii="仿宋" w:hAnsi="仿宋" w:eastAsia="仿宋" w:cs="仿宋"/>
          <w:sz w:val="24"/>
          <w:szCs w:val="28"/>
        </w:rPr>
        <w:t xml:space="preserve">                                            联系人：周胜敏      </w:t>
      </w:r>
    </w:p>
    <w:p>
      <w:pPr>
        <w:rPr>
          <w:rFonts w:hint="eastAsia" w:ascii="仿宋" w:hAnsi="仿宋" w:eastAsia="仿宋" w:cs="仿宋"/>
          <w:sz w:val="24"/>
          <w:szCs w:val="28"/>
          <w:lang w:val="en-US" w:eastAsia="zh-CN"/>
        </w:rPr>
      </w:pPr>
      <w:r>
        <w:rPr>
          <w:rFonts w:hint="eastAsia" w:ascii="仿宋" w:hAnsi="仿宋" w:eastAsia="仿宋" w:cs="仿宋"/>
          <w:sz w:val="24"/>
          <w:szCs w:val="28"/>
        </w:rPr>
        <w:t xml:space="preserve">                                            联系方式：</w:t>
      </w:r>
      <w:r>
        <w:rPr>
          <w:rFonts w:hint="eastAsia" w:ascii="仿宋" w:hAnsi="仿宋" w:eastAsia="仿宋" w:cs="仿宋"/>
          <w:sz w:val="24"/>
          <w:szCs w:val="28"/>
          <w:lang w:val="en-US" w:eastAsia="zh-CN"/>
        </w:rPr>
        <w:t>17761883525</w:t>
      </w:r>
    </w:p>
    <w:p>
      <w:pPr>
        <w:rPr>
          <w:rFonts w:hint="eastAsia" w:ascii="仿宋" w:hAnsi="仿宋" w:eastAsia="仿宋" w:cs="仿宋"/>
          <w:sz w:val="24"/>
          <w:szCs w:val="28"/>
        </w:rPr>
      </w:pPr>
      <w:r>
        <w:rPr>
          <w:rFonts w:hint="eastAsia" w:ascii="仿宋" w:hAnsi="仿宋" w:eastAsia="仿宋" w:cs="仿宋"/>
          <w:sz w:val="24"/>
          <w:szCs w:val="28"/>
        </w:rPr>
        <w:t xml:space="preserve">                                            日期：201</w:t>
      </w:r>
      <w:r>
        <w:rPr>
          <w:rFonts w:hint="eastAsia" w:ascii="仿宋" w:hAnsi="仿宋" w:eastAsia="仿宋" w:cs="仿宋"/>
          <w:sz w:val="24"/>
          <w:szCs w:val="28"/>
          <w:lang w:val="en-US" w:eastAsia="zh-CN"/>
        </w:rPr>
        <w:t>9</w:t>
      </w:r>
      <w:r>
        <w:rPr>
          <w:rFonts w:hint="eastAsia" w:ascii="仿宋" w:hAnsi="仿宋" w:eastAsia="仿宋" w:cs="仿宋"/>
          <w:sz w:val="24"/>
          <w:szCs w:val="28"/>
        </w:rPr>
        <w:t>年</w:t>
      </w:r>
      <w:r>
        <w:rPr>
          <w:rFonts w:hint="eastAsia" w:ascii="仿宋" w:hAnsi="仿宋" w:eastAsia="仿宋" w:cs="仿宋"/>
          <w:sz w:val="24"/>
          <w:szCs w:val="28"/>
          <w:lang w:val="en-US" w:eastAsia="zh-CN"/>
        </w:rPr>
        <w:t>05</w:t>
      </w:r>
      <w:r>
        <w:rPr>
          <w:rFonts w:hint="eastAsia" w:ascii="仿宋" w:hAnsi="仿宋" w:eastAsia="仿宋" w:cs="仿宋"/>
          <w:sz w:val="24"/>
          <w:szCs w:val="28"/>
        </w:rPr>
        <w:t>月</w:t>
      </w:r>
      <w:r>
        <w:rPr>
          <w:rFonts w:hint="eastAsia" w:ascii="仿宋" w:hAnsi="仿宋" w:eastAsia="仿宋" w:cs="仿宋"/>
          <w:sz w:val="24"/>
          <w:szCs w:val="28"/>
          <w:lang w:val="en-US" w:eastAsia="zh-CN"/>
        </w:rPr>
        <w:t>09</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19"/>
        <w:numPr>
          <w:ilvl w:val="0"/>
          <w:numId w:val="2"/>
        </w:numPr>
        <w:rPr>
          <w:rFonts w:hint="eastAsia" w:ascii="仿宋" w:hAnsi="仿宋" w:eastAsia="仿宋" w:cs="仿宋"/>
        </w:rPr>
      </w:pPr>
      <w:bookmarkStart w:id="3" w:name="_Toc10185"/>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0"/>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：SXCG201905-C-102</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：胥城大厦西餐厅活动家具采购项目</w:t>
            </w:r>
          </w:p>
          <w:p>
            <w:pPr>
              <w:spacing w:line="400" w:lineRule="atLeast"/>
              <w:rPr>
                <w:rFonts w:hint="eastAsia" w:ascii="仿宋" w:hAnsi="仿宋" w:eastAsia="仿宋" w:cs="仿宋"/>
                <w:sz w:val="24"/>
                <w:szCs w:val="24"/>
                <w:highlight w:val="yellow"/>
                <w:lang w:val="en-US" w:eastAsia="zh-CN"/>
              </w:rPr>
            </w:pPr>
            <w:r>
              <w:rPr>
                <w:rFonts w:hint="eastAsia" w:ascii="仿宋" w:hAnsi="仿宋" w:eastAsia="仿宋" w:cs="仿宋"/>
                <w:b/>
                <w:bCs/>
                <w:sz w:val="24"/>
                <w:szCs w:val="24"/>
                <w:highlight w:val="yellow"/>
                <w:lang w:val="en-US" w:eastAsia="zh-CN"/>
              </w:rPr>
              <w:t>项目要求</w:t>
            </w:r>
            <w:r>
              <w:rPr>
                <w:rFonts w:hint="eastAsia" w:ascii="仿宋" w:hAnsi="仿宋" w:eastAsia="仿宋" w:cs="仿宋"/>
                <w:sz w:val="24"/>
                <w:szCs w:val="24"/>
                <w:highlight w:val="yellow"/>
                <w:lang w:val="en-US" w:eastAsia="zh-CN"/>
              </w:rPr>
              <w:t>：具体见附件5（第16页）。</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b/>
                <w:bCs/>
                <w:sz w:val="24"/>
                <w:szCs w:val="24"/>
                <w:lang w:val="en-US" w:eastAsia="zh-CN"/>
              </w:rPr>
              <w:t>项目交期</w:t>
            </w:r>
            <w:r>
              <w:rPr>
                <w:rFonts w:hint="eastAsia" w:ascii="仿宋" w:hAnsi="仿宋" w:eastAsia="仿宋" w:cs="仿宋"/>
                <w:sz w:val="24"/>
                <w:szCs w:val="24"/>
                <w:lang w:val="en-US" w:eastAsia="zh-CN"/>
              </w:rPr>
              <w:t>：45日历天</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3"/>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招标文件咨询联系人：周胜敏，电话：17761883525</w:t>
            </w:r>
          </w:p>
          <w:p>
            <w:pPr>
              <w:jc w:val="both"/>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现场踏勘联系人：张 静 ，电话：13401440447</w:t>
            </w:r>
          </w:p>
          <w:p>
            <w:pPr>
              <w:jc w:val="both"/>
              <w:rPr>
                <w:rFonts w:hint="default"/>
                <w:lang w:val="en-US" w:eastAsia="zh-CN"/>
              </w:rPr>
            </w:pPr>
            <w:r>
              <w:rPr>
                <w:rFonts w:hint="eastAsia" w:ascii="仿宋" w:hAnsi="仿宋" w:eastAsia="仿宋" w:cs="仿宋"/>
                <w:b w:val="0"/>
                <w:bCs w:val="0"/>
                <w:sz w:val="24"/>
                <w:szCs w:val="24"/>
                <w:lang w:val="en-US" w:eastAsia="zh-CN"/>
              </w:rPr>
              <w:t>地址：苏州姑苏区三香路333号百合西餐厅</w:t>
            </w:r>
          </w:p>
          <w:p>
            <w:pPr>
              <w:numPr>
                <w:ilvl w:val="0"/>
                <w:numId w:val="0"/>
              </w:numPr>
              <w:spacing w:line="400" w:lineRule="atLeast"/>
              <w:ind w:left="105" w:leftChars="0"/>
              <w:rPr>
                <w:rFonts w:hint="eastAsia" w:ascii="仿宋" w:hAnsi="仿宋" w:eastAsia="仿宋" w:cs="仿宋"/>
                <w:b w:val="0"/>
                <w:bCs w:val="0"/>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①、2019年05月15日前，发到各投标单位邮箱。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一</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2019</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05</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17</w:t>
            </w:r>
            <w:r>
              <w:rPr>
                <w:rFonts w:hint="eastAsia" w:ascii="仿宋" w:hAnsi="仿宋" w:eastAsia="仿宋" w:cs="仿宋"/>
                <w:b/>
                <w:bCs/>
                <w:color w:val="auto"/>
                <w:sz w:val="24"/>
                <w:szCs w:val="24"/>
                <w:highlight w:val="yellow"/>
              </w:rPr>
              <w:t>日上午11：00之前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钱恩妮</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w:t>
            </w:r>
            <w:r>
              <w:rPr>
                <w:rFonts w:hint="eastAsia" w:ascii="仿宋" w:hAnsi="仿宋" w:eastAsia="仿宋" w:cs="仿宋"/>
                <w:sz w:val="24"/>
                <w:szCs w:val="28"/>
                <w:highlight w:val="none"/>
                <w:lang w:eastAsia="zh-CN"/>
              </w:rPr>
              <w:t>选择</w:t>
            </w:r>
            <w:r>
              <w:rPr>
                <w:rFonts w:hint="eastAsia" w:ascii="仿宋" w:hAnsi="仿宋" w:eastAsia="仿宋" w:cs="仿宋"/>
                <w:sz w:val="24"/>
                <w:szCs w:val="28"/>
                <w:highlight w:val="yellow"/>
                <w:lang w:eastAsia="zh-CN"/>
              </w:rPr>
              <w:t>合理低价者</w:t>
            </w:r>
            <w:r>
              <w:rPr>
                <w:rFonts w:hint="eastAsia" w:ascii="仿宋" w:hAnsi="仿宋" w:eastAsia="仿宋" w:cs="仿宋"/>
                <w:sz w:val="24"/>
                <w:szCs w:val="28"/>
                <w:highlight w:val="none"/>
                <w:lang w:eastAsia="zh-CN"/>
              </w:rPr>
              <w:t>进行合作（同时综合考虑报价单位的综合能力）</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投标报价含运费、人工费、搬运费、税率、安装费、保修费等</w:t>
            </w:r>
          </w:p>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②、</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4"/>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4、全部投标文件应一式2份，正本1份，副本1份，并且注明“正本”和“副本”。如正本与副本不符，以正本为准。投标文件应由投标人的合法授权代表正式签署。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rPr>
          <w:rFonts w:hint="eastAsia" w:ascii="仿宋" w:hAnsi="仿宋" w:eastAsia="仿宋" w:cs="仿宋"/>
          <w:sz w:val="24"/>
          <w:szCs w:val="24"/>
          <w:lang w:val="en-US" w:eastAsia="zh-CN"/>
        </w:rPr>
      </w:pPr>
    </w:p>
    <w:p>
      <w:pPr>
        <w:numPr>
          <w:ilvl w:val="0"/>
          <w:numId w:val="0"/>
        </w:numPr>
        <w:spacing w:line="360" w:lineRule="auto"/>
        <w:jc w:val="both"/>
        <w:rPr>
          <w:rFonts w:hint="eastAsia" w:ascii="黑体" w:hAnsi="黑体" w:eastAsia="黑体" w:cs="黑体"/>
          <w:b/>
          <w:bCs/>
          <w:sz w:val="28"/>
          <w:szCs w:val="28"/>
          <w:lang w:val="en-US" w:eastAsia="zh-CN"/>
        </w:rPr>
      </w:pP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rPr>
      </w:pPr>
      <w:r>
        <w:rPr>
          <w:rFonts w:hint="eastAsia" w:ascii="仿宋" w:hAnsi="仿宋" w:eastAsia="仿宋" w:cs="仿宋"/>
          <w:b/>
          <w:bCs/>
          <w:lang w:val="en-US" w:eastAsia="zh-CN"/>
        </w:rPr>
        <w:t>1</w:t>
      </w:r>
      <w:r>
        <w:rPr>
          <w:rFonts w:hint="eastAsia" w:ascii="仿宋" w:hAnsi="仿宋" w:eastAsia="仿宋" w:cs="仿宋"/>
          <w:b/>
          <w:bCs/>
        </w:rPr>
        <w:t>、</w:t>
      </w:r>
      <w:r>
        <w:rPr>
          <w:rFonts w:hint="eastAsia" w:ascii="仿宋" w:hAnsi="仿宋" w:eastAsia="仿宋" w:cs="仿宋"/>
          <w:b/>
          <w:bCs/>
          <w:szCs w:val="21"/>
        </w:rPr>
        <w:t>资信文件：</w:t>
      </w:r>
    </w:p>
    <w:p>
      <w:pPr>
        <w:numPr>
          <w:ilvl w:val="255"/>
          <w:numId w:val="0"/>
        </w:numPr>
        <w:tabs>
          <w:tab w:val="left" w:pos="5562"/>
        </w:tabs>
        <w:spacing w:line="360" w:lineRule="auto"/>
        <w:rPr>
          <w:rFonts w:hint="eastAsia" w:ascii="仿宋" w:hAnsi="仿宋" w:eastAsia="仿宋" w:cs="仿宋"/>
        </w:rPr>
      </w:pPr>
      <w:r>
        <w:rPr>
          <w:rFonts w:hint="eastAsia" w:ascii="仿宋" w:hAnsi="仿宋" w:eastAsia="仿宋" w:cs="仿宋"/>
          <w:lang w:eastAsia="zh-CN"/>
        </w:rPr>
        <w:t>①</w:t>
      </w:r>
      <w:r>
        <w:rPr>
          <w:rFonts w:hint="eastAsia" w:ascii="仿宋" w:hAnsi="仿宋" w:eastAsia="仿宋" w:cs="仿宋"/>
        </w:rPr>
        <w:t>、</w:t>
      </w:r>
      <w:r>
        <w:rPr>
          <w:rFonts w:hint="eastAsia" w:ascii="仿宋" w:hAnsi="仿宋" w:eastAsia="仿宋" w:cs="仿宋"/>
          <w:szCs w:val="21"/>
        </w:rPr>
        <w:t>投标函（见</w:t>
      </w:r>
      <w:r>
        <w:rPr>
          <w:rFonts w:hint="eastAsia" w:ascii="仿宋" w:hAnsi="仿宋" w:eastAsia="仿宋" w:cs="仿宋"/>
          <w:szCs w:val="21"/>
          <w:lang w:eastAsia="zh-CN"/>
        </w:rPr>
        <w:t>附件</w:t>
      </w:r>
      <w:r>
        <w:rPr>
          <w:rFonts w:hint="eastAsia" w:ascii="仿宋" w:hAnsi="仿宋" w:eastAsia="仿宋" w:cs="仿宋"/>
          <w:szCs w:val="21"/>
        </w:rPr>
        <w:t>1）</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②</w:t>
      </w:r>
      <w:r>
        <w:rPr>
          <w:rFonts w:hint="eastAsia" w:ascii="仿宋" w:hAnsi="仿宋" w:eastAsia="仿宋" w:cs="仿宋"/>
          <w:szCs w:val="21"/>
        </w:rPr>
        <w:t>、投标承诺函（见</w:t>
      </w:r>
      <w:r>
        <w:rPr>
          <w:rFonts w:hint="eastAsia" w:ascii="仿宋" w:hAnsi="仿宋" w:eastAsia="仿宋" w:cs="仿宋"/>
          <w:szCs w:val="21"/>
          <w:lang w:eastAsia="zh-CN"/>
        </w:rPr>
        <w:t>附件</w:t>
      </w:r>
      <w:r>
        <w:rPr>
          <w:rFonts w:hint="eastAsia" w:ascii="仿宋" w:hAnsi="仿宋" w:eastAsia="仿宋" w:cs="仿宋"/>
          <w:szCs w:val="21"/>
        </w:rPr>
        <w:t>2）</w:t>
      </w:r>
    </w:p>
    <w:p>
      <w:pPr>
        <w:numPr>
          <w:ilvl w:val="255"/>
          <w:numId w:val="0"/>
        </w:num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③、廉洁经营特别约定条款（见附件</w:t>
      </w:r>
      <w:r>
        <w:rPr>
          <w:rFonts w:hint="eastAsia" w:ascii="仿宋" w:hAnsi="仿宋" w:eastAsia="仿宋" w:cs="仿宋"/>
          <w:szCs w:val="21"/>
          <w:lang w:val="en-US" w:eastAsia="zh-CN"/>
        </w:rPr>
        <w:t>3</w:t>
      </w:r>
      <w:r>
        <w:rPr>
          <w:rFonts w:hint="eastAsia" w:ascii="仿宋" w:hAnsi="仿宋" w:eastAsia="仿宋" w:cs="仿宋"/>
          <w:szCs w:val="21"/>
          <w:lang w:eastAsia="zh-CN"/>
        </w:rPr>
        <w:t>）</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④</w:t>
      </w:r>
      <w:r>
        <w:rPr>
          <w:rFonts w:hint="eastAsia" w:ascii="仿宋" w:hAnsi="仿宋" w:eastAsia="仿宋" w:cs="仿宋"/>
          <w:szCs w:val="21"/>
        </w:rPr>
        <w:t>、法定代表人授权委托书（见</w:t>
      </w:r>
      <w:r>
        <w:rPr>
          <w:rFonts w:hint="eastAsia" w:ascii="仿宋" w:hAnsi="仿宋" w:eastAsia="仿宋" w:cs="仿宋"/>
          <w:szCs w:val="21"/>
          <w:lang w:eastAsia="zh-CN"/>
        </w:rPr>
        <w:t>附件</w:t>
      </w:r>
      <w:r>
        <w:rPr>
          <w:rFonts w:hint="eastAsia" w:ascii="仿宋" w:hAnsi="仿宋" w:eastAsia="仿宋" w:cs="仿宋"/>
          <w:szCs w:val="21"/>
          <w:lang w:val="en-US" w:eastAsia="zh-CN"/>
        </w:rPr>
        <w:t>4</w:t>
      </w:r>
      <w:r>
        <w:rPr>
          <w:rFonts w:hint="eastAsia" w:ascii="仿宋" w:hAnsi="仿宋" w:eastAsia="仿宋" w:cs="仿宋"/>
          <w:szCs w:val="21"/>
        </w:rPr>
        <w:t>）</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⑤</w:t>
      </w:r>
      <w:r>
        <w:rPr>
          <w:rFonts w:hint="eastAsia" w:ascii="仿宋" w:hAnsi="仿宋" w:eastAsia="仿宋" w:cs="仿宋"/>
          <w:szCs w:val="21"/>
        </w:rPr>
        <w:t>、法定代表人身份证明</w:t>
      </w:r>
    </w:p>
    <w:p>
      <w:pPr>
        <w:numPr>
          <w:ilvl w:val="255"/>
          <w:numId w:val="0"/>
        </w:numPr>
        <w:spacing w:line="360" w:lineRule="auto"/>
        <w:rPr>
          <w:rFonts w:hint="eastAsia" w:ascii="仿宋" w:hAnsi="仿宋" w:eastAsia="仿宋" w:cs="仿宋"/>
          <w:szCs w:val="21"/>
        </w:rPr>
      </w:pPr>
      <w:r>
        <w:rPr>
          <w:rFonts w:hint="eastAsia" w:ascii="仿宋" w:hAnsi="仿宋" w:eastAsia="仿宋" w:cs="仿宋"/>
          <w:lang w:eastAsia="zh-CN"/>
        </w:rPr>
        <w:t>⑥</w:t>
      </w:r>
      <w:r>
        <w:rPr>
          <w:rFonts w:hint="eastAsia" w:ascii="仿宋" w:hAnsi="仿宋" w:eastAsia="仿宋" w:cs="仿宋"/>
          <w:szCs w:val="21"/>
        </w:rPr>
        <w:t>、企业营业执照复印件、资质证书、安全生产许可证</w:t>
      </w:r>
      <w:r>
        <w:rPr>
          <w:rFonts w:hint="eastAsia" w:ascii="仿宋" w:hAnsi="仿宋" w:eastAsia="仿宋" w:cs="仿宋"/>
          <w:szCs w:val="21"/>
          <w:lang w:eastAsia="zh-CN"/>
        </w:rPr>
        <w:t>、</w:t>
      </w:r>
      <w:r>
        <w:rPr>
          <w:rFonts w:hint="eastAsia" w:ascii="仿宋" w:hAnsi="仿宋" w:eastAsia="仿宋" w:cs="仿宋"/>
          <w:szCs w:val="21"/>
          <w:lang w:val="en-US" w:eastAsia="zh-CN"/>
        </w:rPr>
        <w:t>质量管理体系认证证书</w:t>
      </w:r>
      <w:r>
        <w:rPr>
          <w:rFonts w:hint="eastAsia" w:ascii="仿宋" w:hAnsi="仿宋" w:eastAsia="仿宋" w:cs="仿宋"/>
          <w:szCs w:val="21"/>
        </w:rPr>
        <w:t>等（加盖公章）</w:t>
      </w:r>
    </w:p>
    <w:p>
      <w:pPr>
        <w:numPr>
          <w:ilvl w:val="255"/>
          <w:numId w:val="0"/>
        </w:numPr>
        <w:spacing w:line="360" w:lineRule="auto"/>
        <w:rPr>
          <w:rFonts w:hint="eastAsia" w:ascii="仿宋" w:hAnsi="仿宋" w:eastAsia="仿宋" w:cs="仿宋"/>
        </w:rPr>
      </w:pPr>
      <w:r>
        <w:rPr>
          <w:rFonts w:hint="eastAsia" w:ascii="仿宋" w:hAnsi="仿宋" w:eastAsia="仿宋" w:cs="仿宋"/>
          <w:lang w:eastAsia="zh-CN"/>
        </w:rPr>
        <w:t>⑦</w:t>
      </w:r>
      <w:r>
        <w:rPr>
          <w:rFonts w:hint="eastAsia" w:ascii="仿宋" w:hAnsi="仿宋" w:eastAsia="仿宋" w:cs="仿宋"/>
        </w:rPr>
        <w:t>、</w:t>
      </w:r>
      <w:r>
        <w:rPr>
          <w:rFonts w:hint="eastAsia" w:ascii="仿宋" w:hAnsi="仿宋" w:eastAsia="仿宋" w:cs="仿宋"/>
          <w:szCs w:val="21"/>
        </w:rPr>
        <w:t>投标人认为符合招标人要求的有效的其他资质及需要说明的资料</w:t>
      </w:r>
    </w:p>
    <w:p>
      <w:pPr>
        <w:numPr>
          <w:ilvl w:val="255"/>
          <w:numId w:val="0"/>
        </w:numPr>
        <w:spacing w:line="360" w:lineRule="auto"/>
        <w:rPr>
          <w:rFonts w:hint="eastAsia" w:ascii="仿宋" w:hAnsi="仿宋" w:eastAsia="仿宋" w:cs="仿宋"/>
          <w:b/>
          <w:bCs/>
          <w:szCs w:val="21"/>
        </w:rPr>
      </w:pPr>
      <w:r>
        <w:rPr>
          <w:rFonts w:hint="eastAsia" w:ascii="仿宋" w:hAnsi="仿宋" w:eastAsia="仿宋" w:cs="仿宋"/>
          <w:b/>
          <w:bCs/>
          <w:szCs w:val="21"/>
          <w:lang w:val="en-US" w:eastAsia="zh-CN"/>
        </w:rPr>
        <w:t>2</w:t>
      </w:r>
      <w:r>
        <w:rPr>
          <w:rFonts w:hint="eastAsia" w:ascii="仿宋" w:hAnsi="仿宋" w:eastAsia="仿宋" w:cs="仿宋"/>
          <w:b/>
          <w:bCs/>
          <w:szCs w:val="21"/>
        </w:rPr>
        <w:t>、商务文件：</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①</w:t>
      </w:r>
      <w:r>
        <w:rPr>
          <w:rFonts w:hint="eastAsia" w:ascii="仿宋" w:hAnsi="仿宋" w:eastAsia="仿宋" w:cs="仿宋"/>
          <w:szCs w:val="21"/>
        </w:rPr>
        <w:t>、投标人情况介绍（主要产品、技术力量、生成规模、经营业绩）</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②</w:t>
      </w:r>
      <w:r>
        <w:rPr>
          <w:rFonts w:hint="eastAsia" w:ascii="仿宋" w:hAnsi="仿宋" w:eastAsia="仿宋" w:cs="仿宋"/>
          <w:szCs w:val="21"/>
        </w:rPr>
        <w:t>、投标人认为可以证明其能力或业绩的其他材料</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③</w:t>
      </w:r>
      <w:r>
        <w:rPr>
          <w:rFonts w:hint="eastAsia" w:ascii="仿宋" w:hAnsi="仿宋" w:eastAsia="仿宋" w:cs="仿宋"/>
          <w:szCs w:val="21"/>
        </w:rPr>
        <w:t>、类似成功案例的业绩证明（投标人同类项目实施情况一览表、合同复印件、用户验收单报告复印件）</w:t>
      </w:r>
    </w:p>
    <w:p>
      <w:pPr>
        <w:numPr>
          <w:ilvl w:val="255"/>
          <w:numId w:val="0"/>
        </w:numPr>
        <w:spacing w:line="360" w:lineRule="auto"/>
        <w:rPr>
          <w:rFonts w:hint="eastAsia" w:ascii="仿宋" w:hAnsi="仿宋" w:eastAsia="仿宋" w:cs="仿宋"/>
          <w:b/>
          <w:bCs/>
          <w:szCs w:val="21"/>
        </w:rPr>
      </w:pPr>
      <w:r>
        <w:rPr>
          <w:rFonts w:hint="eastAsia" w:ascii="仿宋" w:hAnsi="仿宋" w:eastAsia="仿宋" w:cs="仿宋"/>
          <w:b/>
          <w:bCs/>
          <w:szCs w:val="21"/>
          <w:lang w:val="en-US" w:eastAsia="zh-CN"/>
        </w:rPr>
        <w:t>3</w:t>
      </w:r>
      <w:r>
        <w:rPr>
          <w:rFonts w:hint="eastAsia" w:ascii="仿宋" w:hAnsi="仿宋" w:eastAsia="仿宋" w:cs="仿宋"/>
          <w:b/>
          <w:bCs/>
          <w:szCs w:val="21"/>
        </w:rPr>
        <w:t>、</w:t>
      </w:r>
      <w:r>
        <w:rPr>
          <w:rFonts w:hint="eastAsia" w:ascii="仿宋" w:hAnsi="仿宋" w:eastAsia="仿宋" w:cs="仿宋"/>
          <w:b/>
          <w:bCs/>
          <w:szCs w:val="21"/>
          <w:lang w:eastAsia="zh-CN"/>
        </w:rPr>
        <w:t>报价</w:t>
      </w:r>
      <w:r>
        <w:rPr>
          <w:rFonts w:hint="eastAsia" w:ascii="仿宋" w:hAnsi="仿宋" w:eastAsia="仿宋" w:cs="仿宋"/>
          <w:b/>
          <w:bCs/>
          <w:szCs w:val="21"/>
        </w:rPr>
        <w:t>文件：</w:t>
      </w:r>
    </w:p>
    <w:p>
      <w:pPr>
        <w:numPr>
          <w:ilvl w:val="255"/>
          <w:numId w:val="0"/>
        </w:num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①、投标报价清单模板（见附件</w:t>
      </w:r>
      <w:r>
        <w:rPr>
          <w:rFonts w:hint="eastAsia" w:ascii="仿宋" w:hAnsi="仿宋" w:eastAsia="仿宋" w:cs="仿宋"/>
          <w:szCs w:val="21"/>
          <w:lang w:val="en-US" w:eastAsia="zh-CN"/>
        </w:rPr>
        <w:t>5</w:t>
      </w:r>
      <w:r>
        <w:rPr>
          <w:rFonts w:hint="eastAsia" w:ascii="仿宋" w:hAnsi="仿宋" w:eastAsia="仿宋" w:cs="仿宋"/>
          <w:szCs w:val="21"/>
          <w:lang w:eastAsia="zh-CN"/>
        </w:rPr>
        <w:t>）</w:t>
      </w:r>
    </w:p>
    <w:p>
      <w:pPr>
        <w:widowControl w:val="0"/>
        <w:numPr>
          <w:ilvl w:val="0"/>
          <w:numId w:val="0"/>
        </w:numPr>
        <w:jc w:val="both"/>
        <w:rPr>
          <w:rFonts w:hint="eastAsia" w:ascii="仿宋" w:hAnsi="仿宋" w:eastAsia="仿宋" w:cs="仿宋"/>
          <w:lang w:val="en-US" w:eastAsia="zh-CN"/>
        </w:rPr>
      </w:pPr>
      <w:r>
        <w:rPr>
          <w:rFonts w:hint="eastAsia" w:ascii="仿宋" w:hAnsi="仿宋" w:eastAsia="仿宋" w:cs="仿宋"/>
          <w:lang w:val="en-US" w:eastAsia="zh-CN"/>
        </w:rPr>
        <w:br w:type="page"/>
      </w:r>
    </w:p>
    <w:p>
      <w:pPr>
        <w:pStyle w:val="19"/>
        <w:numPr>
          <w:ilvl w:val="0"/>
          <w:numId w:val="2"/>
        </w:numPr>
        <w:rPr>
          <w:rFonts w:hint="eastAsia" w:ascii="仿宋" w:hAnsi="仿宋" w:eastAsia="仿宋" w:cs="仿宋"/>
          <w:lang w:val="en-US" w:eastAsia="zh-CN"/>
        </w:rPr>
      </w:pPr>
      <w:bookmarkStart w:id="4" w:name="_Toc8930"/>
      <w:r>
        <w:rPr>
          <w:rFonts w:hint="eastAsia" w:ascii="仿宋" w:hAnsi="仿宋" w:eastAsia="仿宋" w:cs="仿宋"/>
          <w:lang w:val="en-US" w:eastAsia="zh-CN"/>
        </w:rPr>
        <w:t>、合同主要条款</w:t>
      </w:r>
      <w:bookmarkEnd w:id="4"/>
    </w:p>
    <w:p>
      <w:pPr>
        <w:spacing w:line="360" w:lineRule="exact"/>
        <w:ind w:firstLine="480" w:firstLineChars="200"/>
        <w:rPr>
          <w:rFonts w:hint="eastAsia" w:ascii="宋体" w:hAnsi="宋体"/>
          <w:sz w:val="24"/>
          <w:szCs w:val="21"/>
        </w:rPr>
      </w:pP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采购方（甲方）：</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地址：</w:t>
      </w:r>
      <w:r>
        <w:rPr>
          <w:rFonts w:hint="eastAsia" w:ascii="仿宋" w:hAnsi="仿宋" w:eastAsia="仿宋" w:cs="仿宋"/>
          <w:sz w:val="24"/>
          <w:szCs w:val="21"/>
          <w:lang w:val="en-US" w:eastAsia="zh-CN"/>
        </w:rPr>
        <w:t xml:space="preserve">          </w:t>
      </w:r>
      <w:r>
        <w:rPr>
          <w:rFonts w:hint="eastAsia" w:ascii="仿宋" w:hAnsi="仿宋" w:eastAsia="仿宋" w:cs="仿宋"/>
          <w:sz w:val="24"/>
          <w:szCs w:val="21"/>
        </w:rPr>
        <w:t xml:space="preserve">  电话：    </w:t>
      </w:r>
      <w:r>
        <w:rPr>
          <w:rFonts w:hint="eastAsia" w:ascii="仿宋" w:hAnsi="仿宋" w:eastAsia="仿宋" w:cs="仿宋"/>
          <w:sz w:val="24"/>
          <w:szCs w:val="21"/>
          <w:lang w:val="en-US" w:eastAsia="zh-CN"/>
        </w:rPr>
        <w:t xml:space="preserve"> </w:t>
      </w:r>
      <w:r>
        <w:rPr>
          <w:rFonts w:hint="eastAsia" w:ascii="仿宋" w:hAnsi="仿宋" w:eastAsia="仿宋" w:cs="仿宋"/>
          <w:sz w:val="24"/>
          <w:szCs w:val="21"/>
        </w:rPr>
        <w:t xml:space="preserve">  邮编：</w:t>
      </w:r>
    </w:p>
    <w:p>
      <w:pPr>
        <w:spacing w:line="360" w:lineRule="exact"/>
        <w:ind w:firstLine="480" w:firstLineChars="200"/>
        <w:rPr>
          <w:rFonts w:hint="eastAsia" w:ascii="仿宋" w:hAnsi="仿宋" w:eastAsia="仿宋" w:cs="仿宋"/>
          <w:sz w:val="24"/>
          <w:szCs w:val="21"/>
        </w:rPr>
      </w:pP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供货方（乙方）：</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地址：</w:t>
      </w:r>
      <w:r>
        <w:rPr>
          <w:rFonts w:hint="eastAsia" w:ascii="仿宋" w:hAnsi="仿宋" w:eastAsia="仿宋" w:cs="仿宋"/>
          <w:sz w:val="24"/>
          <w:szCs w:val="21"/>
          <w:lang w:val="en-US" w:eastAsia="zh-CN"/>
        </w:rPr>
        <w:t xml:space="preserve"> </w:t>
      </w:r>
      <w:r>
        <w:rPr>
          <w:rFonts w:hint="eastAsia" w:ascii="仿宋" w:hAnsi="仿宋" w:eastAsia="仿宋" w:cs="仿宋"/>
          <w:sz w:val="24"/>
          <w:szCs w:val="21"/>
        </w:rPr>
        <w:t xml:space="preserve">      </w:t>
      </w:r>
      <w:r>
        <w:rPr>
          <w:rFonts w:hint="eastAsia" w:ascii="仿宋" w:hAnsi="仿宋" w:eastAsia="仿宋" w:cs="仿宋"/>
          <w:sz w:val="24"/>
          <w:szCs w:val="21"/>
          <w:lang w:val="en-US" w:eastAsia="zh-CN"/>
        </w:rPr>
        <w:t xml:space="preserve"> </w:t>
      </w:r>
      <w:r>
        <w:rPr>
          <w:rFonts w:hint="eastAsia" w:ascii="仿宋" w:hAnsi="仿宋" w:eastAsia="仿宋" w:cs="仿宋"/>
          <w:sz w:val="24"/>
          <w:szCs w:val="21"/>
        </w:rPr>
        <w:t xml:space="preserve">    电话：</w:t>
      </w:r>
      <w:r>
        <w:rPr>
          <w:rFonts w:hint="eastAsia" w:ascii="仿宋" w:hAnsi="仿宋" w:eastAsia="仿宋" w:cs="仿宋"/>
          <w:sz w:val="24"/>
          <w:szCs w:val="21"/>
          <w:lang w:val="en-US" w:eastAsia="zh-CN"/>
        </w:rPr>
        <w:t xml:space="preserve">  </w:t>
      </w:r>
      <w:r>
        <w:rPr>
          <w:rFonts w:hint="eastAsia" w:ascii="仿宋" w:hAnsi="仿宋" w:eastAsia="仿宋" w:cs="仿宋"/>
          <w:sz w:val="24"/>
          <w:szCs w:val="21"/>
        </w:rPr>
        <w:t xml:space="preserve">     邮编：</w:t>
      </w:r>
    </w:p>
    <w:p>
      <w:pPr>
        <w:spacing w:line="360" w:lineRule="exact"/>
        <w:ind w:firstLine="480" w:firstLineChars="200"/>
        <w:rPr>
          <w:rFonts w:hint="eastAsia" w:ascii="仿宋" w:hAnsi="仿宋" w:eastAsia="仿宋" w:cs="仿宋"/>
          <w:sz w:val="24"/>
          <w:szCs w:val="21"/>
        </w:rPr>
      </w:pP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购销双方依据《中华人民共和国合同法》及其他相关法律法规，经过自愿平等协商，</w:t>
      </w:r>
      <w:r>
        <w:rPr>
          <w:rFonts w:hint="eastAsia" w:ascii="仿宋" w:hAnsi="仿宋" w:eastAsia="仿宋" w:cs="仿宋"/>
          <w:sz w:val="24"/>
          <w:szCs w:val="21"/>
          <w:u w:val="single"/>
        </w:rPr>
        <w:t xml:space="preserve">就 </w:t>
      </w:r>
      <w:r>
        <w:rPr>
          <w:rFonts w:hint="eastAsia" w:ascii="仿宋" w:hAnsi="仿宋" w:eastAsia="仿宋" w:cs="仿宋"/>
          <w:sz w:val="24"/>
          <w:szCs w:val="21"/>
          <w:u w:val="single"/>
          <w:lang w:val="en-US" w:eastAsia="zh-CN"/>
        </w:rPr>
        <w:t xml:space="preserve">   </w:t>
      </w:r>
      <w:r>
        <w:rPr>
          <w:rFonts w:hint="eastAsia" w:ascii="仿宋" w:hAnsi="仿宋" w:eastAsia="仿宋" w:cs="仿宋"/>
          <w:sz w:val="24"/>
          <w:szCs w:val="21"/>
          <w:u w:val="single"/>
        </w:rPr>
        <w:t xml:space="preserve">       </w:t>
      </w:r>
      <w:r>
        <w:rPr>
          <w:rFonts w:hint="eastAsia" w:ascii="仿宋" w:hAnsi="仿宋" w:eastAsia="仿宋" w:cs="仿宋"/>
          <w:sz w:val="24"/>
          <w:szCs w:val="21"/>
        </w:rPr>
        <w:t>达成协议如下：</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第一条 乙方向甲方提供（详见附件清单）</w:t>
      </w:r>
    </w:p>
    <w:tbl>
      <w:tblPr>
        <w:tblStyle w:val="20"/>
        <w:tblW w:w="87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0"/>
        <w:gridCol w:w="1442"/>
        <w:gridCol w:w="1088"/>
        <w:gridCol w:w="1420"/>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30" w:type="dxa"/>
            <w:vAlign w:val="top"/>
          </w:tcPr>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名称</w:t>
            </w:r>
          </w:p>
        </w:tc>
        <w:tc>
          <w:tcPr>
            <w:tcW w:w="1442" w:type="dxa"/>
            <w:vAlign w:val="top"/>
          </w:tcPr>
          <w:p>
            <w:pPr>
              <w:spacing w:line="360" w:lineRule="exact"/>
              <w:ind w:firstLine="480" w:firstLineChars="200"/>
              <w:rPr>
                <w:rFonts w:hint="eastAsia" w:ascii="仿宋" w:hAnsi="仿宋" w:eastAsia="仿宋" w:cs="仿宋"/>
                <w:sz w:val="24"/>
                <w:szCs w:val="21"/>
                <w:lang w:eastAsia="zh-CN"/>
              </w:rPr>
            </w:pPr>
            <w:r>
              <w:rPr>
                <w:rFonts w:hint="eastAsia" w:ascii="仿宋" w:hAnsi="仿宋" w:eastAsia="仿宋" w:cs="仿宋"/>
                <w:sz w:val="24"/>
                <w:szCs w:val="21"/>
                <w:lang w:eastAsia="zh-CN"/>
              </w:rPr>
              <w:t>规格</w:t>
            </w:r>
          </w:p>
        </w:tc>
        <w:tc>
          <w:tcPr>
            <w:tcW w:w="1088" w:type="dxa"/>
            <w:vAlign w:val="top"/>
          </w:tcPr>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数量</w:t>
            </w:r>
          </w:p>
        </w:tc>
        <w:tc>
          <w:tcPr>
            <w:tcW w:w="1420" w:type="dxa"/>
            <w:vAlign w:val="top"/>
          </w:tcPr>
          <w:p>
            <w:pPr>
              <w:spacing w:line="360" w:lineRule="exact"/>
              <w:ind w:firstLine="480" w:firstLineChars="200"/>
              <w:rPr>
                <w:rFonts w:hint="eastAsia" w:ascii="仿宋" w:hAnsi="仿宋" w:eastAsia="仿宋" w:cs="仿宋"/>
                <w:sz w:val="24"/>
                <w:szCs w:val="21"/>
                <w:lang w:eastAsia="zh-CN"/>
              </w:rPr>
            </w:pPr>
            <w:r>
              <w:rPr>
                <w:rFonts w:hint="eastAsia" w:ascii="仿宋" w:hAnsi="仿宋" w:eastAsia="仿宋" w:cs="仿宋"/>
                <w:sz w:val="24"/>
                <w:szCs w:val="21"/>
              </w:rPr>
              <w:t>单价</w:t>
            </w:r>
            <w:r>
              <w:rPr>
                <w:rFonts w:hint="eastAsia" w:ascii="仿宋" w:hAnsi="仿宋" w:eastAsia="仿宋" w:cs="仿宋"/>
                <w:sz w:val="24"/>
                <w:szCs w:val="21"/>
                <w:lang w:eastAsia="zh-CN"/>
              </w:rPr>
              <w:t>（含税）</w:t>
            </w:r>
          </w:p>
        </w:tc>
        <w:tc>
          <w:tcPr>
            <w:tcW w:w="3115" w:type="dxa"/>
            <w:vAlign w:val="top"/>
          </w:tcPr>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8" w:hRule="atLeast"/>
        </w:trPr>
        <w:tc>
          <w:tcPr>
            <w:tcW w:w="1730" w:type="dxa"/>
            <w:vAlign w:val="top"/>
          </w:tcPr>
          <w:p>
            <w:pPr>
              <w:spacing w:line="360" w:lineRule="exact"/>
              <w:ind w:firstLine="480" w:firstLineChars="200"/>
              <w:rPr>
                <w:rFonts w:hint="eastAsia" w:ascii="仿宋" w:hAnsi="仿宋" w:eastAsia="仿宋" w:cs="仿宋"/>
                <w:sz w:val="24"/>
                <w:szCs w:val="21"/>
                <w:lang w:eastAsia="zh-CN"/>
              </w:rPr>
            </w:pPr>
          </w:p>
        </w:tc>
        <w:tc>
          <w:tcPr>
            <w:tcW w:w="1442" w:type="dxa"/>
            <w:vAlign w:val="top"/>
          </w:tcPr>
          <w:p>
            <w:pPr>
              <w:spacing w:line="360" w:lineRule="exact"/>
              <w:ind w:firstLine="480" w:firstLineChars="200"/>
              <w:rPr>
                <w:rFonts w:hint="eastAsia" w:ascii="仿宋" w:hAnsi="仿宋" w:eastAsia="仿宋" w:cs="仿宋"/>
                <w:sz w:val="24"/>
                <w:szCs w:val="21"/>
                <w:lang w:val="en-US" w:eastAsia="zh-CN"/>
              </w:rPr>
            </w:pPr>
          </w:p>
        </w:tc>
        <w:tc>
          <w:tcPr>
            <w:tcW w:w="1088" w:type="dxa"/>
            <w:vAlign w:val="top"/>
          </w:tcPr>
          <w:p>
            <w:pPr>
              <w:spacing w:line="360" w:lineRule="exact"/>
              <w:ind w:firstLine="480" w:firstLineChars="200"/>
              <w:rPr>
                <w:rFonts w:hint="eastAsia" w:ascii="仿宋" w:hAnsi="仿宋" w:eastAsia="仿宋" w:cs="仿宋"/>
                <w:sz w:val="24"/>
                <w:szCs w:val="21"/>
                <w:lang w:val="en-US" w:eastAsia="zh-CN"/>
              </w:rPr>
            </w:pPr>
          </w:p>
        </w:tc>
        <w:tc>
          <w:tcPr>
            <w:tcW w:w="1420" w:type="dxa"/>
            <w:vAlign w:val="top"/>
          </w:tcPr>
          <w:p>
            <w:pPr>
              <w:spacing w:line="360" w:lineRule="exact"/>
              <w:ind w:firstLine="480" w:firstLineChars="200"/>
              <w:rPr>
                <w:rFonts w:hint="eastAsia" w:ascii="仿宋" w:hAnsi="仿宋" w:eastAsia="仿宋" w:cs="仿宋"/>
                <w:sz w:val="24"/>
                <w:szCs w:val="21"/>
                <w:lang w:val="en-US" w:eastAsia="zh-CN"/>
              </w:rPr>
            </w:pPr>
          </w:p>
        </w:tc>
        <w:tc>
          <w:tcPr>
            <w:tcW w:w="3115" w:type="dxa"/>
            <w:vAlign w:val="top"/>
          </w:tcPr>
          <w:p>
            <w:pPr>
              <w:spacing w:line="360" w:lineRule="exact"/>
              <w:ind w:firstLine="480" w:firstLineChars="200"/>
              <w:rPr>
                <w:rFonts w:hint="eastAsia" w:ascii="仿宋" w:hAnsi="仿宋" w:eastAsia="仿宋" w:cs="仿宋"/>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0" w:type="dxa"/>
            <w:gridSpan w:val="3"/>
            <w:vAlign w:val="top"/>
          </w:tcPr>
          <w:p>
            <w:pPr>
              <w:spacing w:line="360" w:lineRule="exact"/>
              <w:ind w:firstLine="480" w:firstLineChars="200"/>
              <w:rPr>
                <w:rFonts w:hint="eastAsia" w:ascii="仿宋" w:hAnsi="仿宋" w:eastAsia="仿宋" w:cs="仿宋"/>
                <w:sz w:val="24"/>
                <w:szCs w:val="21"/>
                <w:lang w:eastAsia="zh-CN"/>
              </w:rPr>
            </w:pPr>
          </w:p>
        </w:tc>
        <w:tc>
          <w:tcPr>
            <w:tcW w:w="1420" w:type="dxa"/>
            <w:vAlign w:val="top"/>
          </w:tcPr>
          <w:p>
            <w:pPr>
              <w:spacing w:line="360" w:lineRule="exact"/>
              <w:ind w:firstLine="480" w:firstLineChars="200"/>
              <w:rPr>
                <w:rFonts w:hint="eastAsia" w:ascii="仿宋" w:hAnsi="仿宋" w:eastAsia="仿宋" w:cs="仿宋"/>
                <w:sz w:val="24"/>
                <w:szCs w:val="21"/>
                <w:lang w:val="en-US" w:eastAsia="zh-CN"/>
              </w:rPr>
            </w:pPr>
          </w:p>
        </w:tc>
        <w:tc>
          <w:tcPr>
            <w:tcW w:w="3115" w:type="dxa"/>
            <w:vAlign w:val="top"/>
          </w:tcPr>
          <w:p>
            <w:pPr>
              <w:spacing w:line="360" w:lineRule="exact"/>
              <w:ind w:firstLine="480" w:firstLineChars="200"/>
              <w:rPr>
                <w:rFonts w:hint="eastAsia" w:ascii="仿宋" w:hAnsi="仿宋" w:eastAsia="仿宋" w:cs="仿宋"/>
                <w:sz w:val="24"/>
                <w:szCs w:val="21"/>
                <w:lang w:eastAsia="zh-CN"/>
              </w:rPr>
            </w:pPr>
          </w:p>
        </w:tc>
      </w:tr>
    </w:tbl>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第二条 合同履行地及交货方式：合同履行地在甲方，由乙方将货物交付至甲方指定地点          ；</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 xml:space="preserve">第三条 运费承担按照以下第  </w:t>
      </w:r>
      <w:r>
        <w:rPr>
          <w:rFonts w:hint="eastAsia" w:ascii="仿宋" w:hAnsi="仿宋" w:eastAsia="仿宋" w:cs="仿宋"/>
          <w:sz w:val="24"/>
          <w:szCs w:val="21"/>
          <w:u w:val="single"/>
        </w:rPr>
        <w:t xml:space="preserve"> </w:t>
      </w:r>
      <w:r>
        <w:rPr>
          <w:rFonts w:hint="eastAsia" w:ascii="仿宋" w:hAnsi="仿宋" w:eastAsia="仿宋" w:cs="仿宋"/>
          <w:sz w:val="24"/>
          <w:szCs w:val="21"/>
          <w:u w:val="single"/>
          <w:lang w:eastAsia="zh-CN"/>
        </w:rPr>
        <w:t>（</w:t>
      </w:r>
      <w:r>
        <w:rPr>
          <w:rFonts w:hint="eastAsia" w:ascii="仿宋" w:hAnsi="仿宋" w:eastAsia="仿宋" w:cs="仿宋"/>
          <w:sz w:val="24"/>
          <w:szCs w:val="21"/>
          <w:u w:val="single"/>
          <w:lang w:val="en-US" w:eastAsia="zh-CN"/>
        </w:rPr>
        <w:t>2</w:t>
      </w:r>
      <w:r>
        <w:rPr>
          <w:rFonts w:hint="eastAsia" w:ascii="仿宋" w:hAnsi="仿宋" w:eastAsia="仿宋" w:cs="仿宋"/>
          <w:sz w:val="24"/>
          <w:szCs w:val="21"/>
          <w:u w:val="single"/>
          <w:lang w:eastAsia="zh-CN"/>
        </w:rPr>
        <w:t>）</w:t>
      </w:r>
      <w:r>
        <w:rPr>
          <w:rFonts w:hint="eastAsia" w:ascii="仿宋" w:hAnsi="仿宋" w:eastAsia="仿宋" w:cs="仿宋"/>
          <w:sz w:val="24"/>
          <w:szCs w:val="21"/>
          <w:u w:val="single"/>
        </w:rPr>
        <w:t xml:space="preserve">  </w:t>
      </w:r>
      <w:r>
        <w:rPr>
          <w:rFonts w:hint="eastAsia" w:ascii="仿宋" w:hAnsi="仿宋" w:eastAsia="仿宋" w:cs="仿宋"/>
          <w:sz w:val="24"/>
          <w:szCs w:val="21"/>
        </w:rPr>
        <w:t xml:space="preserve"> 种方式执行。</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ab/>
      </w:r>
      <w:r>
        <w:rPr>
          <w:rFonts w:hint="eastAsia" w:ascii="仿宋" w:hAnsi="仿宋" w:eastAsia="仿宋" w:cs="仿宋"/>
          <w:sz w:val="24"/>
          <w:szCs w:val="21"/>
        </w:rPr>
        <w:t>（1）甲方承担；</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ab/>
      </w:r>
      <w:r>
        <w:rPr>
          <w:rFonts w:hint="eastAsia" w:ascii="仿宋" w:hAnsi="仿宋" w:eastAsia="仿宋" w:cs="仿宋"/>
          <w:sz w:val="24"/>
          <w:szCs w:val="21"/>
        </w:rPr>
        <w:t>（2）乙方承担。</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第四条 质量标准：依甲方认可的质量标准进行验收，</w:t>
      </w:r>
      <w:r>
        <w:rPr>
          <w:rFonts w:hint="eastAsia" w:ascii="仿宋" w:hAnsi="仿宋" w:eastAsia="仿宋" w:cs="仿宋"/>
          <w:sz w:val="24"/>
          <w:szCs w:val="21"/>
          <w:u w:val="single"/>
        </w:rPr>
        <w:t>其具体</w:t>
      </w:r>
      <w:r>
        <w:rPr>
          <w:rFonts w:hint="eastAsia" w:ascii="仿宋" w:hAnsi="仿宋" w:eastAsia="仿宋" w:cs="仿宋"/>
          <w:sz w:val="24"/>
          <w:szCs w:val="21"/>
          <w:u w:val="single"/>
          <w:lang w:eastAsia="zh-CN"/>
        </w:rPr>
        <w:t>：</w:t>
      </w:r>
      <w:r>
        <w:rPr>
          <w:rFonts w:hint="eastAsia" w:ascii="仿宋" w:hAnsi="仿宋" w:eastAsia="仿宋" w:cs="仿宋"/>
          <w:sz w:val="24"/>
          <w:szCs w:val="21"/>
          <w:u w:val="single"/>
          <w:lang w:val="en-US" w:eastAsia="zh-CN"/>
        </w:rPr>
        <w:t xml:space="preserve">            </w:t>
      </w:r>
      <w:r>
        <w:rPr>
          <w:rFonts w:hint="eastAsia" w:ascii="仿宋" w:hAnsi="仿宋" w:eastAsia="仿宋" w:cs="仿宋"/>
          <w:sz w:val="24"/>
          <w:szCs w:val="21"/>
          <w:u w:val="single"/>
        </w:rPr>
        <w:t>：</w:t>
      </w:r>
      <w:r>
        <w:rPr>
          <w:rFonts w:hint="eastAsia" w:ascii="仿宋" w:hAnsi="仿宋" w:eastAsia="仿宋" w:cs="仿宋"/>
          <w:sz w:val="24"/>
          <w:szCs w:val="21"/>
          <w:u w:val="single"/>
          <w:lang w:val="en-US" w:eastAsia="zh-CN"/>
        </w:rPr>
        <w:t xml:space="preserve">                    </w:t>
      </w:r>
      <w:r>
        <w:rPr>
          <w:rFonts w:hint="eastAsia" w:ascii="仿宋" w:hAnsi="仿宋" w:eastAsia="仿宋" w:cs="仿宋"/>
          <w:sz w:val="24"/>
          <w:szCs w:val="21"/>
          <w:lang w:val="en-US" w:eastAsia="zh-CN"/>
        </w:rPr>
        <w:t xml:space="preserve">     </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乙方保证其所提供的产品为相应品牌下的正宗产品，不属假冒伪劣或不合格商品。乙方对所提供的产品质量负责，承担因质量问题所造成的一切损失，包括但不限于对甲方或第三方造成的财产及人身损害。</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第五条 乙方应当提供主管部门出具的证明文件(或者批准证书)，因文件不全而导致物的所有权不能及时转移给甲方的，乙方应承担违约责任。</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第六条 交货时间：</w:t>
      </w:r>
      <w:r>
        <w:rPr>
          <w:rFonts w:hint="eastAsia" w:ascii="仿宋" w:hAnsi="仿宋" w:eastAsia="仿宋" w:cs="仿宋"/>
          <w:sz w:val="24"/>
          <w:szCs w:val="21"/>
          <w:u w:val="single"/>
        </w:rPr>
        <w:t xml:space="preserve">   </w:t>
      </w:r>
      <w:r>
        <w:rPr>
          <w:rFonts w:hint="eastAsia" w:ascii="仿宋" w:hAnsi="仿宋" w:eastAsia="仿宋" w:cs="仿宋"/>
          <w:sz w:val="24"/>
          <w:szCs w:val="21"/>
          <w:u w:val="single"/>
          <w:lang w:val="en-US" w:eastAsia="zh-CN"/>
        </w:rPr>
        <w:t xml:space="preserve">              。</w:t>
      </w:r>
      <w:r>
        <w:rPr>
          <w:rFonts w:hint="eastAsia" w:ascii="仿宋" w:hAnsi="仿宋" w:eastAsia="仿宋" w:cs="仿宋"/>
          <w:sz w:val="24"/>
          <w:szCs w:val="21"/>
          <w:u w:val="single"/>
        </w:rPr>
        <w:t xml:space="preserve">                       </w:t>
      </w:r>
      <w:r>
        <w:rPr>
          <w:rFonts w:hint="eastAsia" w:ascii="仿宋" w:hAnsi="仿宋" w:eastAsia="仿宋" w:cs="仿宋"/>
          <w:sz w:val="24"/>
          <w:szCs w:val="21"/>
        </w:rPr>
        <w:t xml:space="preserve">                           </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第七条 价款支付时间、方式</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7．1付款时间与付款方式，除双方另有书面协议外，应于甲方验收乙方货品合格及出具验收文件后，且经甲方收到乙方发票之日起计算。</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7.2</w:t>
      </w:r>
      <w:r>
        <w:rPr>
          <w:rFonts w:hint="eastAsia" w:ascii="仿宋" w:hAnsi="仿宋" w:eastAsia="仿宋" w:cs="仿宋"/>
          <w:sz w:val="24"/>
          <w:szCs w:val="21"/>
        </w:rPr>
        <w:tab/>
      </w:r>
      <w:r>
        <w:rPr>
          <w:rFonts w:hint="eastAsia" w:ascii="仿宋" w:hAnsi="仿宋" w:eastAsia="仿宋" w:cs="仿宋"/>
          <w:sz w:val="24"/>
          <w:szCs w:val="21"/>
        </w:rPr>
        <w:t>如乙方供货存在不合格品或有短缺，且甲方决定不再接受乙方更换的合格品或补足短缺之货品时，则甲方有权自该笔货款付款中减除相应的不合格品或短少货物的款项及因退货而生之运费与相关费用。</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7.3 乙方违反本合同任一约定时，甲方有权在应付货款中扣除乙方因违约而应承担的所有费用与违约金及赔偿金额。</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7.4付款时间和付款方式：</w:t>
      </w:r>
      <w:r>
        <w:rPr>
          <w:rFonts w:hint="eastAsia" w:ascii="仿宋" w:hAnsi="仿宋" w:eastAsia="仿宋" w:cs="仿宋"/>
          <w:sz w:val="24"/>
          <w:szCs w:val="21"/>
          <w:highlight w:val="yellow"/>
          <w:u w:val="single"/>
          <w:lang w:eastAsia="zh-CN"/>
        </w:rPr>
        <w:t>合同确认后预付</w:t>
      </w:r>
      <w:r>
        <w:rPr>
          <w:rFonts w:hint="eastAsia" w:ascii="仿宋" w:hAnsi="仿宋" w:eastAsia="仿宋" w:cs="仿宋"/>
          <w:sz w:val="24"/>
          <w:szCs w:val="21"/>
          <w:highlight w:val="yellow"/>
          <w:u w:val="single"/>
          <w:lang w:val="en-US" w:eastAsia="zh-CN"/>
        </w:rPr>
        <w:t>30%货款，安装验收后支付65%，预留5%质保金于保修期结束后付清。</w:t>
      </w:r>
      <w:r>
        <w:rPr>
          <w:rFonts w:hint="eastAsia" w:ascii="仿宋" w:hAnsi="仿宋" w:eastAsia="仿宋" w:cs="仿宋"/>
          <w:sz w:val="24"/>
          <w:szCs w:val="21"/>
          <w:highlight w:val="yellow"/>
          <w:u w:val="single"/>
        </w:rPr>
        <w:t xml:space="preserve"> </w:t>
      </w:r>
      <w:r>
        <w:rPr>
          <w:rFonts w:hint="eastAsia" w:ascii="仿宋" w:hAnsi="仿宋" w:eastAsia="仿宋" w:cs="仿宋"/>
          <w:sz w:val="24"/>
          <w:szCs w:val="21"/>
          <w:highlight w:val="yellow"/>
        </w:rPr>
        <w:t xml:space="preserve">  </w:t>
      </w:r>
      <w:r>
        <w:rPr>
          <w:rFonts w:hint="eastAsia" w:ascii="仿宋" w:hAnsi="仿宋" w:eastAsia="仿宋" w:cs="仿宋"/>
          <w:sz w:val="24"/>
          <w:szCs w:val="21"/>
        </w:rPr>
        <w:t xml:space="preserve">     </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7.5乙方应于收到当期货款前或后三日内向甲方开具正规发票。</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第八条 变更和解除合同</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8.1乙方不得将本合约全部或部分权利或义务移转予第三人。</w:t>
      </w:r>
    </w:p>
    <w:p>
      <w:pPr>
        <w:spacing w:line="360" w:lineRule="exact"/>
        <w:ind w:firstLine="480" w:firstLineChars="200"/>
        <w:rPr>
          <w:rFonts w:hint="eastAsia" w:ascii="仿宋" w:hAnsi="仿宋" w:eastAsia="仿宋" w:cs="仿宋"/>
          <w:sz w:val="24"/>
          <w:szCs w:val="21"/>
          <w:u w:val="single"/>
        </w:rPr>
      </w:pPr>
      <w:r>
        <w:rPr>
          <w:rFonts w:hint="eastAsia" w:ascii="仿宋" w:hAnsi="仿宋" w:eastAsia="仿宋" w:cs="仿宋"/>
          <w:sz w:val="24"/>
          <w:szCs w:val="21"/>
        </w:rPr>
        <w:t xml:space="preserve">8.2  </w:t>
      </w:r>
      <w:r>
        <w:rPr>
          <w:rFonts w:hint="eastAsia" w:ascii="仿宋" w:hAnsi="仿宋" w:eastAsia="仿宋" w:cs="仿宋"/>
          <w:sz w:val="24"/>
          <w:szCs w:val="21"/>
          <w:u w:val="single"/>
        </w:rPr>
        <w:t xml:space="preserve"> </w:t>
      </w:r>
      <w:r>
        <w:rPr>
          <w:rFonts w:hint="eastAsia" w:ascii="仿宋" w:hAnsi="仿宋" w:eastAsia="仿宋" w:cs="仿宋"/>
          <w:sz w:val="24"/>
          <w:szCs w:val="21"/>
          <w:u w:val="single"/>
          <w:lang w:val="en-US" w:eastAsia="zh-CN"/>
        </w:rPr>
        <w:t xml:space="preserve">                                                </w:t>
      </w:r>
      <w:r>
        <w:rPr>
          <w:rFonts w:hint="eastAsia" w:ascii="仿宋" w:hAnsi="仿宋" w:eastAsia="仿宋" w:cs="仿宋"/>
          <w:sz w:val="24"/>
          <w:szCs w:val="21"/>
          <w:u w:val="single"/>
          <w:lang w:eastAsia="zh-CN"/>
        </w:rPr>
        <w:t>。</w:t>
      </w:r>
      <w:r>
        <w:rPr>
          <w:rFonts w:hint="eastAsia" w:ascii="仿宋" w:hAnsi="仿宋" w:eastAsia="仿宋" w:cs="仿宋"/>
          <w:sz w:val="24"/>
          <w:szCs w:val="21"/>
          <w:u w:val="single"/>
        </w:rPr>
        <w:t xml:space="preserve"> </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 xml:space="preserve">                                                          </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 xml:space="preserve">   第九条 不可抗力</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第十条 违约责任</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甲方违约责任：若甲方未按约定付款，每逾期一日，按未付款金额以银行同期贷款利率计算违约金。</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乙方违约责任：</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1、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2、如乙方违反本合同或订单所要求之质量，致所提供之货物有瑕疵或其它质量问题时，甲方除得依本合同相关条款主张权利外，并有权要求乙方支付该笔货品订单合同总价的百分之   叁   的违约金。</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3、乙方逾期交付发票的，按照逾期未交付发票的金额的1%向甲方支付违约金。</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第十一条 争端解决</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甲乙双方因合同的解释或履行发生争议时，首先应通过友好协商解决；协商不成的，任何一方均可应向需方所在地有管辖权的人民法院提请诉讼。</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第十二条 本合同自双方当事人签字盖章后生效。</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第十三条 本合同一式四份，甲乙双方各执两份，具有同等效力。</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第十四条 本合同未尽事宜按照双方协商，另立补充协议，补充协议与本合同具有同等法律效力。</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第十五条 其他约定事项</w:t>
      </w:r>
      <w:r>
        <w:rPr>
          <w:rFonts w:hint="eastAsia" w:ascii="仿宋" w:hAnsi="仿宋" w:eastAsia="仿宋" w:cs="仿宋"/>
          <w:sz w:val="24"/>
          <w:szCs w:val="21"/>
          <w:u w:val="single"/>
        </w:rPr>
        <w:t>：</w:t>
      </w:r>
      <w:r>
        <w:rPr>
          <w:rFonts w:hint="eastAsia" w:ascii="仿宋" w:hAnsi="仿宋" w:eastAsia="仿宋" w:cs="仿宋"/>
          <w:sz w:val="24"/>
          <w:szCs w:val="21"/>
          <w:u w:val="single"/>
          <w:lang w:val="en-US" w:eastAsia="zh-CN"/>
        </w:rPr>
        <w:t xml:space="preserve">                                           </w:t>
      </w:r>
      <w:r>
        <w:rPr>
          <w:rFonts w:hint="eastAsia" w:ascii="仿宋" w:hAnsi="仿宋" w:eastAsia="仿宋" w:cs="仿宋"/>
          <w:sz w:val="24"/>
          <w:szCs w:val="21"/>
          <w:u w:val="single"/>
          <w:lang w:eastAsia="zh-CN"/>
        </w:rPr>
        <w:t>。</w:t>
      </w:r>
      <w:r>
        <w:rPr>
          <w:rFonts w:hint="eastAsia" w:ascii="仿宋" w:hAnsi="仿宋" w:eastAsia="仿宋" w:cs="仿宋"/>
          <w:sz w:val="24"/>
          <w:szCs w:val="21"/>
          <w:u w:val="single"/>
        </w:rPr>
        <w:t xml:space="preserve">   </w:t>
      </w:r>
      <w:r>
        <w:rPr>
          <w:rFonts w:hint="eastAsia" w:ascii="仿宋" w:hAnsi="仿宋" w:eastAsia="仿宋" w:cs="仿宋"/>
          <w:sz w:val="24"/>
          <w:szCs w:val="21"/>
        </w:rPr>
        <w:t xml:space="preserve">  </w:t>
      </w:r>
    </w:p>
    <w:p>
      <w:pPr>
        <w:spacing w:line="360" w:lineRule="exact"/>
        <w:ind w:firstLine="480" w:firstLineChars="200"/>
        <w:rPr>
          <w:rFonts w:hint="eastAsia" w:ascii="宋体" w:hAnsi="宋体"/>
          <w:sz w:val="24"/>
          <w:szCs w:val="21"/>
        </w:rPr>
      </w:pPr>
      <w:r>
        <w:rPr>
          <w:rFonts w:hint="eastAsia" w:ascii="仿宋" w:hAnsi="仿宋" w:eastAsia="仿宋" w:cs="仿宋"/>
          <w:sz w:val="24"/>
          <w:szCs w:val="21"/>
        </w:rPr>
        <w:t xml:space="preserve">       </w:t>
      </w:r>
      <w:r>
        <w:rPr>
          <w:rFonts w:hint="eastAsia" w:ascii="宋体" w:hAnsi="宋体"/>
          <w:sz w:val="24"/>
          <w:szCs w:val="21"/>
        </w:rPr>
        <w:t xml:space="preserve">                                  </w:t>
      </w:r>
    </w:p>
    <w:p>
      <w:pPr>
        <w:spacing w:line="360" w:lineRule="exact"/>
        <w:ind w:firstLine="480" w:firstLineChars="200"/>
        <w:rPr>
          <w:rFonts w:hint="eastAsia" w:ascii="宋体" w:hAnsi="宋体"/>
          <w:sz w:val="24"/>
          <w:szCs w:val="21"/>
        </w:rPr>
      </w:pPr>
    </w:p>
    <w:p>
      <w:pPr>
        <w:spacing w:line="360" w:lineRule="exact"/>
        <w:ind w:firstLine="480" w:firstLineChars="200"/>
        <w:rPr>
          <w:rFonts w:hint="eastAsia" w:ascii="宋体" w:hAnsi="宋体"/>
          <w:sz w:val="24"/>
          <w:szCs w:val="21"/>
        </w:rPr>
      </w:pPr>
    </w:p>
    <w:p>
      <w:pPr>
        <w:pStyle w:val="19"/>
        <w:jc w:val="center"/>
        <w:rPr>
          <w:rFonts w:hint="eastAsia" w:ascii="仿宋" w:hAnsi="仿宋" w:eastAsia="仿宋" w:cs="仿宋"/>
        </w:rPr>
      </w:pPr>
      <w:bookmarkStart w:id="5" w:name="_Toc10344"/>
      <w:bookmarkStart w:id="6" w:name="_Toc6627"/>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章、投标文件封面格式</w:t>
      </w:r>
      <w:bookmarkEnd w:id="5"/>
      <w:bookmarkEnd w:id="6"/>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CEiSzVAAAABAEAAA8AAAAAAAAAAQAgAAAAIgAAAGRycy9kb3ducmV2LnhtbFBLAQIUABQAAAAI&#10;AIdO4kCkwwX68AEAAOgDAAAOAAAAAAAAAAEAIAAAACQBAABkcnMvZTJvRG9jLnhtbFBLBQYAAAAA&#10;BgAGAFkBAACGBQ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日期：                 年                 月              日</w:t>
      </w:r>
    </w:p>
    <w:p>
      <w:pPr>
        <w:spacing w:line="360" w:lineRule="auto"/>
        <w:rPr>
          <w:rFonts w:hint="eastAsia" w:ascii="仿宋" w:hAnsi="仿宋" w:eastAsia="仿宋" w:cs="仿宋"/>
        </w:rPr>
      </w:pPr>
      <w:r>
        <w:rPr>
          <w:rFonts w:hint="eastAsia" w:ascii="仿宋" w:hAnsi="仿宋" w:eastAsia="仿宋" w:cs="仿宋"/>
          <w:b/>
          <w:color w:val="000000"/>
          <w:sz w:val="28"/>
          <w:szCs w:val="28"/>
        </w:rPr>
        <w:br w:type="page"/>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(商务</w:t>
      </w:r>
      <w:r>
        <w:rPr>
          <w:rFonts w:hint="eastAsia" w:ascii="仿宋" w:hAnsi="仿宋" w:eastAsia="仿宋" w:cs="仿宋"/>
          <w:b/>
          <w:color w:val="000000"/>
          <w:sz w:val="44"/>
          <w:szCs w:val="44"/>
          <w:lang w:eastAsia="zh-CN"/>
        </w:rPr>
        <w:t>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pStyle w:val="19"/>
        <w:jc w:val="center"/>
        <w:rPr>
          <w:rFonts w:hint="eastAsia" w:ascii="仿宋" w:hAnsi="仿宋" w:eastAsia="仿宋" w:cs="仿宋"/>
          <w:lang w:eastAsia="zh-CN"/>
        </w:rPr>
      </w:pPr>
      <w:bookmarkStart w:id="7" w:name="_Toc6805"/>
      <w:r>
        <w:rPr>
          <w:rFonts w:hint="eastAsia" w:ascii="仿宋" w:hAnsi="仿宋" w:eastAsia="仿宋" w:cs="仿宋"/>
          <w:lang w:eastAsia="zh-CN"/>
        </w:rPr>
        <w:t>第五章、附件</w:t>
      </w:r>
      <w:bookmarkEnd w:id="7"/>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胥城大厦西餐厅活动家具采购项目</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1</w:t>
      </w:r>
      <w:r>
        <w:rPr>
          <w:rFonts w:hint="eastAsia" w:ascii="仿宋" w:hAnsi="仿宋" w:eastAsia="仿宋" w:cs="仿宋"/>
          <w:color w:val="000000"/>
          <w:sz w:val="24"/>
          <w:szCs w:val="24"/>
        </w:rPr>
        <w:t>份。投标文件包括：</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 在全面研究了贵公司的招标文件后，我们愿意按总价:       元（人民币大写：                    ）的报价参与投标，此报价按照招标文件的要求，已包含我公司进行音响设备采购项目的实施、培训、辅导所发生的全部费用。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胥城大厦西餐厅活动家具采购项目</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胥城大厦西餐厅活动家具采购项目</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2019年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2019年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胥城大厦西餐厅活动家具采购项目</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spacing w:line="360" w:lineRule="auto"/>
        <w:rPr>
          <w:rFonts w:hint="eastAsia" w:ascii="仿宋" w:hAnsi="仿宋" w:eastAsia="仿宋" w:cs="仿宋"/>
          <w:color w:val="000000"/>
          <w:sz w:val="24"/>
          <w:szCs w:val="24"/>
        </w:rPr>
      </w:pPr>
    </w:p>
    <w:p>
      <w:pPr>
        <w:rPr>
          <w:rFonts w:hint="eastAsia" w:ascii="仿宋" w:hAnsi="仿宋" w:eastAsia="仿宋" w:cs="仿宋"/>
          <w:szCs w:val="21"/>
        </w:rPr>
      </w:pPr>
      <w:r>
        <w:rPr>
          <w:rFonts w:hint="eastAsia" w:ascii="仿宋" w:hAnsi="仿宋" w:eastAsia="仿宋" w:cs="仿宋"/>
          <w:szCs w:val="21"/>
        </w:rPr>
        <w:br w:type="page"/>
      </w:r>
    </w:p>
    <w:p>
      <w:pPr>
        <w:rPr>
          <w:rFonts w:hint="eastAsia" w:ascii="仿宋" w:hAnsi="仿宋" w:eastAsia="仿宋" w:cs="仿宋"/>
          <w:b/>
          <w:bCs/>
          <w:color w:val="000000"/>
          <w:sz w:val="28"/>
          <w:szCs w:val="28"/>
          <w:highlight w:val="yellow"/>
          <w:lang w:val="en-US" w:eastAsia="zh-CN"/>
        </w:rPr>
      </w:pPr>
      <w:r>
        <w:rPr>
          <w:rFonts w:hint="eastAsia" w:ascii="仿宋" w:hAnsi="仿宋" w:eastAsia="仿宋" w:cs="仿宋"/>
          <w:b/>
          <w:bCs/>
          <w:color w:val="000000"/>
          <w:sz w:val="28"/>
          <w:szCs w:val="28"/>
          <w:highlight w:val="yellow"/>
          <w:lang w:eastAsia="zh-CN"/>
        </w:rPr>
        <w:t>附件</w:t>
      </w:r>
      <w:r>
        <w:rPr>
          <w:rFonts w:hint="eastAsia" w:ascii="仿宋" w:hAnsi="仿宋" w:eastAsia="仿宋" w:cs="仿宋"/>
          <w:b/>
          <w:bCs/>
          <w:color w:val="000000"/>
          <w:sz w:val="28"/>
          <w:szCs w:val="28"/>
          <w:highlight w:val="yellow"/>
          <w:lang w:val="en-US" w:eastAsia="zh-CN"/>
        </w:rPr>
        <w:t>5：报价清单模板</w:t>
      </w:r>
    </w:p>
    <w:tbl>
      <w:tblPr>
        <w:tblStyle w:val="20"/>
        <w:tblpPr w:leftFromText="180" w:rightFromText="180" w:vertAnchor="text" w:horzAnchor="page" w:tblpX="204" w:tblpY="670"/>
        <w:tblOverlap w:val="never"/>
        <w:tblW w:w="10965" w:type="dxa"/>
        <w:tblInd w:w="0" w:type="dxa"/>
        <w:shd w:val="clear" w:color="auto" w:fill="auto"/>
        <w:tblLayout w:type="fixed"/>
        <w:tblCellMar>
          <w:top w:w="0" w:type="dxa"/>
          <w:left w:w="0" w:type="dxa"/>
          <w:bottom w:w="0" w:type="dxa"/>
          <w:right w:w="0" w:type="dxa"/>
        </w:tblCellMar>
      </w:tblPr>
      <w:tblGrid>
        <w:gridCol w:w="690"/>
        <w:gridCol w:w="1530"/>
        <w:gridCol w:w="2490"/>
        <w:gridCol w:w="1530"/>
        <w:gridCol w:w="690"/>
        <w:gridCol w:w="690"/>
        <w:gridCol w:w="930"/>
        <w:gridCol w:w="930"/>
        <w:gridCol w:w="1485"/>
      </w:tblGrid>
      <w:tr>
        <w:tblPrEx>
          <w:shd w:val="clear" w:color="auto" w:fill="auto"/>
          <w:tblLayout w:type="fixed"/>
          <w:tblCellMar>
            <w:top w:w="0" w:type="dxa"/>
            <w:left w:w="0" w:type="dxa"/>
            <w:bottom w:w="0" w:type="dxa"/>
            <w:right w:w="0" w:type="dxa"/>
          </w:tblCellMar>
        </w:tblPrEx>
        <w:trPr>
          <w:trHeight w:val="518"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序号</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名称</w:t>
            </w:r>
          </w:p>
        </w:tc>
        <w:tc>
          <w:tcPr>
            <w:tcW w:w="2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参考图片</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规格</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数量</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单位</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单价</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金额</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制作说明</w:t>
            </w:r>
          </w:p>
        </w:tc>
      </w:tr>
      <w:tr>
        <w:tblPrEx>
          <w:tblLayout w:type="fixed"/>
          <w:tblCellMar>
            <w:top w:w="0" w:type="dxa"/>
            <w:left w:w="0" w:type="dxa"/>
            <w:bottom w:w="0" w:type="dxa"/>
            <w:right w:w="0" w:type="dxa"/>
          </w:tblCellMar>
        </w:tblPrEx>
        <w:trPr>
          <w:trHeight w:val="1598"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01</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玄关台</w:t>
            </w:r>
          </w:p>
        </w:tc>
        <w:tc>
          <w:tcPr>
            <w:tcW w:w="2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83820</wp:posOffset>
                  </wp:positionH>
                  <wp:positionV relativeFrom="paragraph">
                    <wp:posOffset>91440</wp:posOffset>
                  </wp:positionV>
                  <wp:extent cx="1259840" cy="846455"/>
                  <wp:effectExtent l="0" t="0" r="16510" b="10795"/>
                  <wp:wrapNone/>
                  <wp:docPr id="39" name="图片_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_1" descr="/"/>
                          <pic:cNvPicPr>
                            <a:picLocks noChangeAspect="1"/>
                          </pic:cNvPicPr>
                        </pic:nvPicPr>
                        <pic:blipFill>
                          <a:blip r:embed="rId5"/>
                          <a:stretch>
                            <a:fillRect/>
                          </a:stretch>
                        </pic:blipFill>
                        <pic:spPr>
                          <a:xfrm>
                            <a:off x="0" y="0"/>
                            <a:ext cx="1259840" cy="846455"/>
                          </a:xfrm>
                          <a:prstGeom prst="rect">
                            <a:avLst/>
                          </a:prstGeom>
                          <a:noFill/>
                          <a:ln>
                            <a:noFill/>
                          </a:ln>
                        </pic:spPr>
                      </pic:pic>
                    </a:graphicData>
                  </a:graphic>
                </wp:anchor>
              </w:drawing>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1500*400*800</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1</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件</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实木框架，其他多层板贴木皮饰面；按色板做油漆</w:t>
            </w:r>
          </w:p>
        </w:tc>
      </w:tr>
      <w:tr>
        <w:tblPrEx>
          <w:tblLayout w:type="fixed"/>
          <w:tblCellMar>
            <w:top w:w="0" w:type="dxa"/>
            <w:left w:w="0" w:type="dxa"/>
            <w:bottom w:w="0" w:type="dxa"/>
            <w:right w:w="0" w:type="dxa"/>
          </w:tblCellMar>
        </w:tblPrEx>
        <w:trPr>
          <w:trHeight w:val="1932"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02</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餐桌</w:t>
            </w:r>
          </w:p>
        </w:tc>
        <w:tc>
          <w:tcPr>
            <w:tcW w:w="2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173990</wp:posOffset>
                  </wp:positionH>
                  <wp:positionV relativeFrom="paragraph">
                    <wp:posOffset>68580</wp:posOffset>
                  </wp:positionV>
                  <wp:extent cx="1079500" cy="1089660"/>
                  <wp:effectExtent l="0" t="0" r="6350" b="15240"/>
                  <wp:wrapNone/>
                  <wp:docPr id="40" name="图片_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_2" descr="/"/>
                          <pic:cNvPicPr>
                            <a:picLocks noChangeAspect="1"/>
                          </pic:cNvPicPr>
                        </pic:nvPicPr>
                        <pic:blipFill>
                          <a:blip r:embed="rId6"/>
                          <a:stretch>
                            <a:fillRect/>
                          </a:stretch>
                        </pic:blipFill>
                        <pic:spPr>
                          <a:xfrm>
                            <a:off x="0" y="0"/>
                            <a:ext cx="1079500" cy="1089660"/>
                          </a:xfrm>
                          <a:prstGeom prst="rect">
                            <a:avLst/>
                          </a:prstGeom>
                          <a:noFill/>
                          <a:ln>
                            <a:noFill/>
                          </a:ln>
                        </pic:spPr>
                      </pic:pic>
                    </a:graphicData>
                  </a:graphic>
                </wp:anchor>
              </w:drawing>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2250*800*750</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2</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件</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多层板贴木皮桌面，桌脚采用不锈钢框架；按色板做油漆</w:t>
            </w:r>
          </w:p>
        </w:tc>
      </w:tr>
      <w:tr>
        <w:tblPrEx>
          <w:tblLayout w:type="fixed"/>
          <w:tblCellMar>
            <w:top w:w="0" w:type="dxa"/>
            <w:left w:w="0" w:type="dxa"/>
            <w:bottom w:w="0" w:type="dxa"/>
            <w:right w:w="0" w:type="dxa"/>
          </w:tblCellMar>
        </w:tblPrEx>
        <w:trPr>
          <w:trHeight w:val="1932"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03</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餐桌</w:t>
            </w:r>
          </w:p>
        </w:tc>
        <w:tc>
          <w:tcPr>
            <w:tcW w:w="2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173990</wp:posOffset>
                  </wp:positionH>
                  <wp:positionV relativeFrom="paragraph">
                    <wp:posOffset>68580</wp:posOffset>
                  </wp:positionV>
                  <wp:extent cx="1079500" cy="1089660"/>
                  <wp:effectExtent l="0" t="0" r="6350" b="15240"/>
                  <wp:wrapNone/>
                  <wp:docPr id="41" name="图片_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_7" descr="/"/>
                          <pic:cNvPicPr>
                            <a:picLocks noChangeAspect="1"/>
                          </pic:cNvPicPr>
                        </pic:nvPicPr>
                        <pic:blipFill>
                          <a:blip r:embed="rId7"/>
                          <a:stretch>
                            <a:fillRect/>
                          </a:stretch>
                        </pic:blipFill>
                        <pic:spPr>
                          <a:xfrm>
                            <a:off x="0" y="0"/>
                            <a:ext cx="1079500" cy="1089660"/>
                          </a:xfrm>
                          <a:prstGeom prst="rect">
                            <a:avLst/>
                          </a:prstGeom>
                          <a:noFill/>
                          <a:ln>
                            <a:noFill/>
                          </a:ln>
                        </pic:spPr>
                      </pic:pic>
                    </a:graphicData>
                  </a:graphic>
                </wp:anchor>
              </w:drawing>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1700*800*750</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5</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件</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多层板贴木皮桌面，桌脚采用不锈钢框架；按色板做油漆</w:t>
            </w:r>
          </w:p>
        </w:tc>
      </w:tr>
      <w:tr>
        <w:tblPrEx>
          <w:tblLayout w:type="fixed"/>
          <w:tblCellMar>
            <w:top w:w="0" w:type="dxa"/>
            <w:left w:w="0" w:type="dxa"/>
            <w:bottom w:w="0" w:type="dxa"/>
            <w:right w:w="0" w:type="dxa"/>
          </w:tblCellMar>
        </w:tblPrEx>
        <w:trPr>
          <w:trHeight w:val="1932"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04</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餐桌</w:t>
            </w:r>
          </w:p>
        </w:tc>
        <w:tc>
          <w:tcPr>
            <w:tcW w:w="2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173990</wp:posOffset>
                  </wp:positionH>
                  <wp:positionV relativeFrom="paragraph">
                    <wp:posOffset>68580</wp:posOffset>
                  </wp:positionV>
                  <wp:extent cx="1079500" cy="1089025"/>
                  <wp:effectExtent l="0" t="0" r="6350" b="15875"/>
                  <wp:wrapNone/>
                  <wp:docPr id="29" name="图片_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_13" descr="/"/>
                          <pic:cNvPicPr>
                            <a:picLocks noChangeAspect="1"/>
                          </pic:cNvPicPr>
                        </pic:nvPicPr>
                        <pic:blipFill>
                          <a:blip r:embed="rId8"/>
                          <a:stretch>
                            <a:fillRect/>
                          </a:stretch>
                        </pic:blipFill>
                        <pic:spPr>
                          <a:xfrm>
                            <a:off x="0" y="0"/>
                            <a:ext cx="1079500" cy="1089025"/>
                          </a:xfrm>
                          <a:prstGeom prst="rect">
                            <a:avLst/>
                          </a:prstGeom>
                          <a:noFill/>
                          <a:ln>
                            <a:noFill/>
                          </a:ln>
                        </pic:spPr>
                      </pic:pic>
                    </a:graphicData>
                  </a:graphic>
                </wp:anchor>
              </w:drawing>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1400*700*750</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6</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件</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多层板贴木皮桌面，桌脚采用不锈钢框架；按色板做油漆</w:t>
            </w:r>
          </w:p>
        </w:tc>
      </w:tr>
      <w:tr>
        <w:tblPrEx>
          <w:tblLayout w:type="fixed"/>
          <w:tblCellMar>
            <w:top w:w="0" w:type="dxa"/>
            <w:left w:w="0" w:type="dxa"/>
            <w:bottom w:w="0" w:type="dxa"/>
            <w:right w:w="0" w:type="dxa"/>
          </w:tblCellMar>
        </w:tblPrEx>
        <w:trPr>
          <w:trHeight w:val="1658"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firstLine="180" w:firstLineChars="100"/>
              <w:jc w:val="both"/>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05</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餐桌</w:t>
            </w:r>
          </w:p>
        </w:tc>
        <w:tc>
          <w:tcPr>
            <w:tcW w:w="2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173990</wp:posOffset>
                  </wp:positionH>
                  <wp:positionV relativeFrom="paragraph">
                    <wp:posOffset>68580</wp:posOffset>
                  </wp:positionV>
                  <wp:extent cx="1080135" cy="898525"/>
                  <wp:effectExtent l="0" t="0" r="5715" b="15875"/>
                  <wp:wrapNone/>
                  <wp:docPr id="30" name="图片_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_8" descr="/"/>
                          <pic:cNvPicPr>
                            <a:picLocks noChangeAspect="1"/>
                          </pic:cNvPicPr>
                        </pic:nvPicPr>
                        <pic:blipFill>
                          <a:blip r:embed="rId9"/>
                          <a:stretch>
                            <a:fillRect/>
                          </a:stretch>
                        </pic:blipFill>
                        <pic:spPr>
                          <a:xfrm>
                            <a:off x="0" y="0"/>
                            <a:ext cx="1080135" cy="898525"/>
                          </a:xfrm>
                          <a:prstGeom prst="rect">
                            <a:avLst/>
                          </a:prstGeom>
                          <a:noFill/>
                          <a:ln>
                            <a:noFill/>
                          </a:ln>
                        </pic:spPr>
                      </pic:pic>
                    </a:graphicData>
                  </a:graphic>
                </wp:anchor>
              </w:drawing>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700*700*750</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33</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件</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不锈钢框架脚，桌面采用</w:t>
            </w:r>
            <w:r>
              <w:rPr>
                <w:rFonts w:hint="eastAsia" w:ascii="黑体" w:hAnsi="宋体" w:eastAsia="黑体" w:cs="黑体"/>
                <w:i w:val="0"/>
                <w:color w:val="000000"/>
                <w:kern w:val="0"/>
                <w:sz w:val="18"/>
                <w:szCs w:val="18"/>
                <w:highlight w:val="yellow"/>
                <w:u w:val="none"/>
                <w:lang w:val="en-US" w:eastAsia="zh-CN" w:bidi="ar"/>
              </w:rPr>
              <w:t>人造石材</w:t>
            </w:r>
            <w:r>
              <w:rPr>
                <w:rFonts w:hint="eastAsia" w:ascii="黑体" w:hAnsi="宋体" w:eastAsia="黑体" w:cs="黑体"/>
                <w:i w:val="0"/>
                <w:color w:val="000000"/>
                <w:kern w:val="0"/>
                <w:sz w:val="18"/>
                <w:szCs w:val="18"/>
                <w:u w:val="none"/>
                <w:lang w:val="en-US" w:eastAsia="zh-CN" w:bidi="ar"/>
              </w:rPr>
              <w:t>，石材不锈钢围边</w:t>
            </w:r>
          </w:p>
        </w:tc>
      </w:tr>
      <w:tr>
        <w:tblPrEx>
          <w:tblLayout w:type="fixed"/>
          <w:tblCellMar>
            <w:top w:w="0" w:type="dxa"/>
            <w:left w:w="0" w:type="dxa"/>
            <w:bottom w:w="0" w:type="dxa"/>
            <w:right w:w="0" w:type="dxa"/>
          </w:tblCellMar>
        </w:tblPrEx>
        <w:trPr>
          <w:trHeight w:val="1658"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06</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餐桌</w:t>
            </w:r>
          </w:p>
        </w:tc>
        <w:tc>
          <w:tcPr>
            <w:tcW w:w="2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173990</wp:posOffset>
                  </wp:positionH>
                  <wp:positionV relativeFrom="paragraph">
                    <wp:posOffset>68580</wp:posOffset>
                  </wp:positionV>
                  <wp:extent cx="1080135" cy="898525"/>
                  <wp:effectExtent l="0" t="0" r="5715" b="15875"/>
                  <wp:wrapNone/>
                  <wp:docPr id="31" name="图片_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_11" descr="/"/>
                          <pic:cNvPicPr>
                            <a:picLocks noChangeAspect="1"/>
                          </pic:cNvPicPr>
                        </pic:nvPicPr>
                        <pic:blipFill>
                          <a:blip r:embed="rId10"/>
                          <a:stretch>
                            <a:fillRect/>
                          </a:stretch>
                        </pic:blipFill>
                        <pic:spPr>
                          <a:xfrm>
                            <a:off x="0" y="0"/>
                            <a:ext cx="1080135" cy="898525"/>
                          </a:xfrm>
                          <a:prstGeom prst="rect">
                            <a:avLst/>
                          </a:prstGeom>
                          <a:noFill/>
                          <a:ln>
                            <a:noFill/>
                          </a:ln>
                        </pic:spPr>
                      </pic:pic>
                    </a:graphicData>
                  </a:graphic>
                </wp:anchor>
              </w:drawing>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920*920*750</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2</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件</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不锈钢框架脚，桌面采用石材，石材不锈钢围边</w:t>
            </w:r>
          </w:p>
        </w:tc>
      </w:tr>
      <w:tr>
        <w:tblPrEx>
          <w:tblLayout w:type="fixed"/>
          <w:tblCellMar>
            <w:top w:w="0" w:type="dxa"/>
            <w:left w:w="0" w:type="dxa"/>
            <w:bottom w:w="0" w:type="dxa"/>
            <w:right w:w="0" w:type="dxa"/>
          </w:tblCellMar>
        </w:tblPrEx>
        <w:trPr>
          <w:trHeight w:val="13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07</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卡座沙发</w:t>
            </w:r>
          </w:p>
        </w:tc>
        <w:tc>
          <w:tcPr>
            <w:tcW w:w="2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83820</wp:posOffset>
                  </wp:positionH>
                  <wp:positionV relativeFrom="paragraph">
                    <wp:posOffset>90805</wp:posOffset>
                  </wp:positionV>
                  <wp:extent cx="1259840" cy="679450"/>
                  <wp:effectExtent l="0" t="0" r="16510" b="6350"/>
                  <wp:wrapNone/>
                  <wp:docPr id="32" name="图片_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_10" descr="/"/>
                          <pic:cNvPicPr>
                            <a:picLocks noChangeAspect="1"/>
                          </pic:cNvPicPr>
                        </pic:nvPicPr>
                        <pic:blipFill>
                          <a:blip r:embed="rId11"/>
                          <a:stretch>
                            <a:fillRect/>
                          </a:stretch>
                        </pic:blipFill>
                        <pic:spPr>
                          <a:xfrm>
                            <a:off x="0" y="0"/>
                            <a:ext cx="1259840" cy="679450"/>
                          </a:xfrm>
                          <a:prstGeom prst="rect">
                            <a:avLst/>
                          </a:prstGeom>
                          <a:noFill/>
                          <a:ln>
                            <a:noFill/>
                          </a:ln>
                        </pic:spPr>
                      </pic:pic>
                    </a:graphicData>
                  </a:graphic>
                </wp:anchor>
              </w:drawing>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1400*750*1100</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12</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件</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auto"/>
                <w:sz w:val="18"/>
                <w:szCs w:val="18"/>
                <w:u w:val="none"/>
              </w:rPr>
            </w:pPr>
            <w:r>
              <w:rPr>
                <w:rFonts w:hint="eastAsia" w:ascii="黑体" w:hAnsi="宋体" w:eastAsia="黑体" w:cs="黑体"/>
                <w:i w:val="0"/>
                <w:color w:val="auto"/>
                <w:kern w:val="0"/>
                <w:sz w:val="18"/>
                <w:szCs w:val="18"/>
                <w:u w:val="none"/>
                <w:lang w:val="en-US" w:eastAsia="zh-CN" w:bidi="ar"/>
              </w:rPr>
              <w:t>实木框架，优质布艺软包；按色板做油漆</w:t>
            </w:r>
          </w:p>
        </w:tc>
      </w:tr>
      <w:tr>
        <w:tblPrEx>
          <w:tblLayout w:type="fixed"/>
          <w:tblCellMar>
            <w:top w:w="0" w:type="dxa"/>
            <w:left w:w="0" w:type="dxa"/>
            <w:bottom w:w="0" w:type="dxa"/>
            <w:right w:w="0" w:type="dxa"/>
          </w:tblCellMar>
        </w:tblPrEx>
        <w:trPr>
          <w:trHeight w:val="1009"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08</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卡座沙发</w:t>
            </w:r>
          </w:p>
        </w:tc>
        <w:tc>
          <w:tcPr>
            <w:tcW w:w="2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75565</wp:posOffset>
                  </wp:positionH>
                  <wp:positionV relativeFrom="paragraph">
                    <wp:posOffset>91440</wp:posOffset>
                  </wp:positionV>
                  <wp:extent cx="1260475" cy="441960"/>
                  <wp:effectExtent l="0" t="0" r="15875" b="15240"/>
                  <wp:wrapNone/>
                  <wp:docPr id="33" name="图片_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_9" descr="/"/>
                          <pic:cNvPicPr>
                            <a:picLocks noChangeAspect="1"/>
                          </pic:cNvPicPr>
                        </pic:nvPicPr>
                        <pic:blipFill>
                          <a:blip r:embed="rId12"/>
                          <a:stretch>
                            <a:fillRect/>
                          </a:stretch>
                        </pic:blipFill>
                        <pic:spPr>
                          <a:xfrm>
                            <a:off x="0" y="0"/>
                            <a:ext cx="1260475" cy="441960"/>
                          </a:xfrm>
                          <a:prstGeom prst="rect">
                            <a:avLst/>
                          </a:prstGeom>
                          <a:noFill/>
                          <a:ln>
                            <a:noFill/>
                          </a:ln>
                        </pic:spPr>
                      </pic:pic>
                    </a:graphicData>
                  </a:graphic>
                </wp:anchor>
              </w:drawing>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3800*580*1100</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3</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件</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auto"/>
                <w:sz w:val="18"/>
                <w:szCs w:val="18"/>
                <w:u w:val="none"/>
              </w:rPr>
            </w:pPr>
            <w:r>
              <w:rPr>
                <w:rFonts w:hint="eastAsia" w:ascii="黑体" w:hAnsi="宋体" w:eastAsia="黑体" w:cs="黑体"/>
                <w:i w:val="0"/>
                <w:color w:val="auto"/>
                <w:kern w:val="0"/>
                <w:sz w:val="18"/>
                <w:szCs w:val="18"/>
                <w:u w:val="none"/>
                <w:lang w:val="en-US" w:eastAsia="zh-CN" w:bidi="ar"/>
              </w:rPr>
              <w:t>实木框架，优质布艺软包；按色板做油漆</w:t>
            </w:r>
          </w:p>
        </w:tc>
      </w:tr>
      <w:tr>
        <w:tblPrEx>
          <w:tblLayout w:type="fixed"/>
          <w:tblCellMar>
            <w:top w:w="0" w:type="dxa"/>
            <w:left w:w="0" w:type="dxa"/>
            <w:bottom w:w="0" w:type="dxa"/>
            <w:right w:w="0" w:type="dxa"/>
          </w:tblCellMar>
        </w:tblPrEx>
        <w:trPr>
          <w:trHeight w:val="2352"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09</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餐椅A</w:t>
            </w:r>
          </w:p>
        </w:tc>
        <w:tc>
          <w:tcPr>
            <w:tcW w:w="2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163830</wp:posOffset>
                  </wp:positionH>
                  <wp:positionV relativeFrom="paragraph">
                    <wp:posOffset>76200</wp:posOffset>
                  </wp:positionV>
                  <wp:extent cx="1079500" cy="1356360"/>
                  <wp:effectExtent l="0" t="0" r="6350" b="15240"/>
                  <wp:wrapNone/>
                  <wp:docPr id="34" name="图片_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_4" descr="/"/>
                          <pic:cNvPicPr>
                            <a:picLocks noChangeAspect="1"/>
                          </pic:cNvPicPr>
                        </pic:nvPicPr>
                        <pic:blipFill>
                          <a:blip r:embed="rId13"/>
                          <a:stretch>
                            <a:fillRect/>
                          </a:stretch>
                        </pic:blipFill>
                        <pic:spPr>
                          <a:xfrm>
                            <a:off x="0" y="0"/>
                            <a:ext cx="1079500" cy="1356360"/>
                          </a:xfrm>
                          <a:prstGeom prst="rect">
                            <a:avLst/>
                          </a:prstGeom>
                          <a:noFill/>
                          <a:ln>
                            <a:noFill/>
                          </a:ln>
                        </pic:spPr>
                      </pic:pic>
                    </a:graphicData>
                  </a:graphic>
                </wp:anchor>
              </w:drawing>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常规</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36</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件</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auto"/>
                <w:sz w:val="18"/>
                <w:szCs w:val="18"/>
                <w:u w:val="none"/>
              </w:rPr>
            </w:pPr>
            <w:r>
              <w:rPr>
                <w:rFonts w:hint="eastAsia" w:ascii="黑体" w:hAnsi="宋体" w:eastAsia="黑体" w:cs="黑体"/>
                <w:i w:val="0"/>
                <w:color w:val="auto"/>
                <w:kern w:val="0"/>
                <w:sz w:val="18"/>
                <w:szCs w:val="18"/>
                <w:u w:val="none"/>
                <w:lang w:val="en-US" w:eastAsia="zh-CN" w:bidi="ar"/>
              </w:rPr>
              <w:t>实木框架，优质布艺软包；按色板做油漆</w:t>
            </w:r>
          </w:p>
        </w:tc>
      </w:tr>
      <w:tr>
        <w:tblPrEx>
          <w:tblLayout w:type="fixed"/>
          <w:tblCellMar>
            <w:top w:w="0" w:type="dxa"/>
            <w:left w:w="0" w:type="dxa"/>
            <w:bottom w:w="0" w:type="dxa"/>
            <w:right w:w="0" w:type="dxa"/>
          </w:tblCellMar>
        </w:tblPrEx>
        <w:trPr>
          <w:trHeight w:val="2258"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10</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餐椅B</w:t>
            </w:r>
          </w:p>
        </w:tc>
        <w:tc>
          <w:tcPr>
            <w:tcW w:w="2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163830</wp:posOffset>
                  </wp:positionH>
                  <wp:positionV relativeFrom="paragraph">
                    <wp:posOffset>76200</wp:posOffset>
                  </wp:positionV>
                  <wp:extent cx="1079500" cy="1270000"/>
                  <wp:effectExtent l="0" t="0" r="6350" b="6350"/>
                  <wp:wrapNone/>
                  <wp:docPr id="35" name="图片_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_6" descr="/"/>
                          <pic:cNvPicPr>
                            <a:picLocks noChangeAspect="1"/>
                          </pic:cNvPicPr>
                        </pic:nvPicPr>
                        <pic:blipFill>
                          <a:blip r:embed="rId14"/>
                          <a:stretch>
                            <a:fillRect/>
                          </a:stretch>
                        </pic:blipFill>
                        <pic:spPr>
                          <a:xfrm>
                            <a:off x="0" y="0"/>
                            <a:ext cx="1079500" cy="1270000"/>
                          </a:xfrm>
                          <a:prstGeom prst="rect">
                            <a:avLst/>
                          </a:prstGeom>
                          <a:noFill/>
                          <a:ln>
                            <a:noFill/>
                          </a:ln>
                        </pic:spPr>
                      </pic:pic>
                    </a:graphicData>
                  </a:graphic>
                </wp:anchor>
              </w:drawing>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常规</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黑体" w:hAnsi="宋体" w:eastAsia="黑体" w:cs="黑体"/>
                <w:i w:val="0"/>
                <w:color w:val="000000"/>
                <w:sz w:val="18"/>
                <w:szCs w:val="18"/>
                <w:u w:val="none"/>
                <w:lang w:val="en-US"/>
              </w:rPr>
            </w:pPr>
            <w:r>
              <w:rPr>
                <w:rFonts w:hint="eastAsia" w:ascii="黑体" w:hAnsi="宋体" w:eastAsia="黑体" w:cs="黑体"/>
                <w:i w:val="0"/>
                <w:color w:val="000000"/>
                <w:kern w:val="0"/>
                <w:sz w:val="18"/>
                <w:szCs w:val="18"/>
                <w:u w:val="none"/>
                <w:lang w:val="en-US" w:eastAsia="zh-CN" w:bidi="ar"/>
              </w:rPr>
              <w:t>50</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件</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auto"/>
                <w:sz w:val="18"/>
                <w:szCs w:val="18"/>
                <w:u w:val="none"/>
              </w:rPr>
            </w:pPr>
            <w:r>
              <w:rPr>
                <w:rFonts w:hint="eastAsia" w:ascii="黑体" w:hAnsi="宋体" w:eastAsia="黑体" w:cs="黑体"/>
                <w:i w:val="0"/>
                <w:color w:val="auto"/>
                <w:kern w:val="0"/>
                <w:sz w:val="18"/>
                <w:szCs w:val="18"/>
                <w:u w:val="none"/>
                <w:lang w:val="en-US" w:eastAsia="zh-CN" w:bidi="ar"/>
              </w:rPr>
              <w:t>实木框架，优质布艺软包，不锈钢脚套；按色板做油漆</w:t>
            </w:r>
          </w:p>
        </w:tc>
      </w:tr>
      <w:tr>
        <w:tblPrEx>
          <w:tblLayout w:type="fixed"/>
          <w:tblCellMar>
            <w:top w:w="0" w:type="dxa"/>
            <w:left w:w="0" w:type="dxa"/>
            <w:bottom w:w="0" w:type="dxa"/>
            <w:right w:w="0" w:type="dxa"/>
          </w:tblCellMar>
        </w:tblPrEx>
        <w:trPr>
          <w:trHeight w:val="2258"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11</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餐椅C</w:t>
            </w:r>
          </w:p>
        </w:tc>
        <w:tc>
          <w:tcPr>
            <w:tcW w:w="2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163830</wp:posOffset>
                  </wp:positionH>
                  <wp:positionV relativeFrom="paragraph">
                    <wp:posOffset>76200</wp:posOffset>
                  </wp:positionV>
                  <wp:extent cx="1079500" cy="1290955"/>
                  <wp:effectExtent l="0" t="0" r="6350" b="4445"/>
                  <wp:wrapNone/>
                  <wp:docPr id="36" name="图片_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_5" descr="/"/>
                          <pic:cNvPicPr>
                            <a:picLocks noChangeAspect="1"/>
                          </pic:cNvPicPr>
                        </pic:nvPicPr>
                        <pic:blipFill>
                          <a:blip r:embed="rId15"/>
                          <a:stretch>
                            <a:fillRect/>
                          </a:stretch>
                        </pic:blipFill>
                        <pic:spPr>
                          <a:xfrm>
                            <a:off x="0" y="0"/>
                            <a:ext cx="1079500" cy="1290955"/>
                          </a:xfrm>
                          <a:prstGeom prst="rect">
                            <a:avLst/>
                          </a:prstGeom>
                          <a:noFill/>
                          <a:ln>
                            <a:noFill/>
                          </a:ln>
                        </pic:spPr>
                      </pic:pic>
                    </a:graphicData>
                  </a:graphic>
                </wp:anchor>
              </w:drawing>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常规</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20</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件</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8"/>
                <w:szCs w:val="18"/>
                <w:u w:val="none"/>
              </w:rPr>
            </w:pPr>
            <w:bookmarkStart w:id="8" w:name="_GoBack"/>
            <w:bookmarkEnd w:id="8"/>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实木框架，</w:t>
            </w:r>
            <w:r>
              <w:rPr>
                <w:rFonts w:hint="eastAsia" w:ascii="黑体" w:hAnsi="宋体" w:eastAsia="黑体" w:cs="黑体"/>
                <w:i w:val="0"/>
                <w:color w:val="auto"/>
                <w:kern w:val="0"/>
                <w:sz w:val="18"/>
                <w:szCs w:val="18"/>
                <w:u w:val="none"/>
                <w:lang w:val="en-US" w:eastAsia="zh-CN" w:bidi="ar"/>
              </w:rPr>
              <w:t>优质布艺软包；按色板做油漆</w:t>
            </w:r>
          </w:p>
        </w:tc>
      </w:tr>
      <w:tr>
        <w:tblPrEx>
          <w:tblLayout w:type="fixed"/>
          <w:tblCellMar>
            <w:top w:w="0" w:type="dxa"/>
            <w:left w:w="0" w:type="dxa"/>
            <w:bottom w:w="0" w:type="dxa"/>
            <w:right w:w="0" w:type="dxa"/>
          </w:tblCellMar>
        </w:tblPrEx>
        <w:trPr>
          <w:trHeight w:val="2258"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12</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操作台</w:t>
            </w:r>
          </w:p>
        </w:tc>
        <w:tc>
          <w:tcPr>
            <w:tcW w:w="2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104775</wp:posOffset>
                  </wp:positionH>
                  <wp:positionV relativeFrom="paragraph">
                    <wp:posOffset>251460</wp:posOffset>
                  </wp:positionV>
                  <wp:extent cx="1295400" cy="1005205"/>
                  <wp:effectExtent l="0" t="0" r="0" b="4445"/>
                  <wp:wrapNone/>
                  <wp:docPr id="37" name="Picture_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_2" descr="/"/>
                          <pic:cNvPicPr>
                            <a:picLocks noChangeAspect="1"/>
                          </pic:cNvPicPr>
                        </pic:nvPicPr>
                        <pic:blipFill>
                          <a:blip r:embed="rId16"/>
                          <a:stretch>
                            <a:fillRect/>
                          </a:stretch>
                        </pic:blipFill>
                        <pic:spPr>
                          <a:xfrm>
                            <a:off x="0" y="0"/>
                            <a:ext cx="1295400" cy="1005205"/>
                          </a:xfrm>
                          <a:prstGeom prst="rect">
                            <a:avLst/>
                          </a:prstGeom>
                          <a:noFill/>
                          <a:ln>
                            <a:noFill/>
                          </a:ln>
                        </pic:spPr>
                      </pic:pic>
                    </a:graphicData>
                  </a:graphic>
                </wp:anchor>
              </w:drawing>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1000*500*800</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2</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件</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0</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实木框架，实木多层贴面，按色板做油漆,台面</w:t>
            </w:r>
            <w:r>
              <w:rPr>
                <w:rFonts w:hint="eastAsia" w:ascii="黑体" w:hAnsi="宋体" w:eastAsia="黑体" w:cs="黑体"/>
                <w:i w:val="0"/>
                <w:color w:val="000000"/>
                <w:kern w:val="0"/>
                <w:sz w:val="18"/>
                <w:szCs w:val="18"/>
                <w:highlight w:val="yellow"/>
                <w:u w:val="none"/>
                <w:lang w:val="en-US" w:eastAsia="zh-CN" w:bidi="ar"/>
              </w:rPr>
              <w:t>人造石材</w:t>
            </w:r>
            <w:r>
              <w:rPr>
                <w:rFonts w:hint="eastAsia" w:ascii="黑体" w:hAnsi="宋体" w:eastAsia="黑体" w:cs="黑体"/>
                <w:i w:val="0"/>
                <w:color w:val="000000"/>
                <w:kern w:val="0"/>
                <w:sz w:val="18"/>
                <w:szCs w:val="18"/>
                <w:u w:val="none"/>
                <w:lang w:val="en-US" w:eastAsia="zh-CN" w:bidi="ar"/>
              </w:rPr>
              <w:t>，厨门做移门，加两个抽屉</w:t>
            </w:r>
          </w:p>
        </w:tc>
      </w:tr>
      <w:tr>
        <w:tblPrEx>
          <w:tblLayout w:type="fixed"/>
          <w:tblCellMar>
            <w:top w:w="0" w:type="dxa"/>
            <w:left w:w="0" w:type="dxa"/>
            <w:bottom w:w="0" w:type="dxa"/>
            <w:right w:w="0" w:type="dxa"/>
          </w:tblCellMar>
        </w:tblPrEx>
        <w:trPr>
          <w:trHeight w:val="60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40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0"/>
                <w:szCs w:val="20"/>
                <w:u w:val="none"/>
              </w:rPr>
            </w:pPr>
            <w:r>
              <w:rPr>
                <w:rFonts w:hint="eastAsia" w:ascii="黑体" w:hAnsi="宋体" w:eastAsia="黑体" w:cs="黑体"/>
                <w:b/>
                <w:i w:val="0"/>
                <w:color w:val="000000"/>
                <w:kern w:val="0"/>
                <w:sz w:val="20"/>
                <w:szCs w:val="20"/>
                <w:u w:val="none"/>
                <w:lang w:val="en-US" w:eastAsia="zh-CN" w:bidi="ar"/>
              </w:rPr>
              <w:t>小计</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0"/>
                <w:szCs w:val="20"/>
                <w:u w:val="none"/>
              </w:rPr>
            </w:pPr>
            <w:r>
              <w:rPr>
                <w:rFonts w:hint="eastAsia" w:ascii="黑体" w:hAnsi="宋体" w:eastAsia="黑体" w:cs="黑体"/>
                <w:b/>
                <w:i w:val="0"/>
                <w:color w:val="000000"/>
                <w:kern w:val="0"/>
                <w:sz w:val="20"/>
                <w:szCs w:val="20"/>
                <w:u w:val="none"/>
                <w:lang w:val="en-US" w:eastAsia="zh-CN" w:bidi="ar"/>
              </w:rPr>
              <w:t>162</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0"/>
                <w:szCs w:val="20"/>
                <w:u w:val="none"/>
              </w:rPr>
            </w:pPr>
            <w:r>
              <w:rPr>
                <w:rFonts w:hint="eastAsia" w:ascii="黑体" w:hAnsi="宋体" w:eastAsia="黑体" w:cs="黑体"/>
                <w:b/>
                <w:i w:val="0"/>
                <w:color w:val="000000"/>
                <w:kern w:val="0"/>
                <w:sz w:val="20"/>
                <w:szCs w:val="20"/>
                <w:u w:val="none"/>
                <w:lang w:val="en-US" w:eastAsia="zh-CN" w:bidi="ar"/>
              </w:rPr>
              <w:t>0</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r>
      <w:tr>
        <w:tblPrEx>
          <w:tblLayout w:type="fixed"/>
          <w:tblCellMar>
            <w:top w:w="0" w:type="dxa"/>
            <w:left w:w="0" w:type="dxa"/>
            <w:bottom w:w="0" w:type="dxa"/>
            <w:right w:w="0" w:type="dxa"/>
          </w:tblCellMar>
        </w:tblPrEx>
        <w:trPr>
          <w:trHeight w:val="60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40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0"/>
                <w:szCs w:val="20"/>
                <w:u w:val="none"/>
              </w:rPr>
            </w:pPr>
            <w:r>
              <w:rPr>
                <w:rFonts w:hint="eastAsia" w:ascii="黑体" w:hAnsi="宋体" w:eastAsia="黑体" w:cs="黑体"/>
                <w:b/>
                <w:i w:val="0"/>
                <w:color w:val="000000"/>
                <w:kern w:val="0"/>
                <w:sz w:val="20"/>
                <w:szCs w:val="20"/>
                <w:u w:val="none"/>
                <w:lang w:val="en-US" w:eastAsia="zh-CN" w:bidi="ar"/>
              </w:rPr>
              <w:t>税金</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r>
      <w:tr>
        <w:tblPrEx>
          <w:tblLayout w:type="fixed"/>
          <w:tblCellMar>
            <w:top w:w="0" w:type="dxa"/>
            <w:left w:w="0" w:type="dxa"/>
            <w:bottom w:w="0" w:type="dxa"/>
            <w:right w:w="0" w:type="dxa"/>
          </w:tblCellMar>
        </w:tblPrEx>
        <w:trPr>
          <w:trHeight w:val="60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40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0"/>
                <w:szCs w:val="20"/>
                <w:u w:val="none"/>
              </w:rPr>
            </w:pPr>
            <w:r>
              <w:rPr>
                <w:rFonts w:hint="eastAsia" w:ascii="黑体" w:hAnsi="宋体" w:eastAsia="黑体" w:cs="黑体"/>
                <w:b/>
                <w:i w:val="0"/>
                <w:color w:val="000000"/>
                <w:kern w:val="0"/>
                <w:sz w:val="20"/>
                <w:szCs w:val="20"/>
                <w:u w:val="none"/>
                <w:lang w:val="en-US" w:eastAsia="zh-CN" w:bidi="ar"/>
              </w:rPr>
              <w:t>运费+安装+二次搬运</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r>
      <w:tr>
        <w:tblPrEx>
          <w:tblLayout w:type="fixed"/>
          <w:tblCellMar>
            <w:top w:w="0" w:type="dxa"/>
            <w:left w:w="0" w:type="dxa"/>
            <w:bottom w:w="0" w:type="dxa"/>
            <w:right w:w="0" w:type="dxa"/>
          </w:tblCellMar>
        </w:tblPrEx>
        <w:trPr>
          <w:trHeight w:val="60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40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0"/>
                <w:szCs w:val="20"/>
                <w:u w:val="none"/>
              </w:rPr>
            </w:pPr>
            <w:r>
              <w:rPr>
                <w:rFonts w:hint="eastAsia" w:ascii="黑体" w:hAnsi="宋体" w:eastAsia="黑体" w:cs="黑体"/>
                <w:b/>
                <w:i w:val="0"/>
                <w:color w:val="000000"/>
                <w:kern w:val="0"/>
                <w:sz w:val="20"/>
                <w:szCs w:val="20"/>
                <w:u w:val="none"/>
                <w:lang w:val="en-US" w:eastAsia="zh-CN" w:bidi="ar"/>
              </w:rPr>
              <w:t>合计</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b/>
                <w:i w:val="0"/>
                <w:color w:val="000000"/>
                <w:sz w:val="20"/>
                <w:szCs w:val="20"/>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0"/>
                <w:szCs w:val="20"/>
                <w:u w:val="none"/>
              </w:rPr>
            </w:pPr>
            <w:r>
              <w:rPr>
                <w:rFonts w:hint="eastAsia" w:ascii="黑体" w:hAnsi="宋体" w:eastAsia="黑体" w:cs="黑体"/>
                <w:b/>
                <w:i w:val="0"/>
                <w:color w:val="000000"/>
                <w:kern w:val="0"/>
                <w:sz w:val="20"/>
                <w:szCs w:val="20"/>
                <w:u w:val="none"/>
                <w:lang w:val="en-US" w:eastAsia="zh-CN" w:bidi="ar"/>
              </w:rPr>
              <w:t>0</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r>
      <w:tr>
        <w:tblPrEx>
          <w:tblLayout w:type="fixed"/>
          <w:tblCellMar>
            <w:top w:w="0" w:type="dxa"/>
            <w:left w:w="0" w:type="dxa"/>
            <w:bottom w:w="0" w:type="dxa"/>
            <w:right w:w="0" w:type="dxa"/>
          </w:tblCellMar>
        </w:tblPrEx>
        <w:trPr>
          <w:trHeight w:val="600" w:hRule="atLeast"/>
        </w:trPr>
        <w:tc>
          <w:tcPr>
            <w:tcW w:w="10965" w:type="dxa"/>
            <w:gridSpan w:val="9"/>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黑体" w:hAnsi="宋体" w:eastAsia="黑体" w:cs="黑体"/>
                <w:i w:val="0"/>
                <w:color w:val="000000"/>
                <w:sz w:val="18"/>
                <w:szCs w:val="18"/>
                <w:u w:val="none"/>
              </w:rPr>
            </w:pPr>
            <w:r>
              <w:rPr>
                <w:rFonts w:hint="eastAsia" w:ascii="黑体" w:hAnsi="宋体" w:eastAsia="黑体" w:cs="黑体"/>
                <w:i w:val="0"/>
                <w:color w:val="000000"/>
                <w:sz w:val="18"/>
                <w:szCs w:val="18"/>
                <w:u w:val="none"/>
                <w:lang w:val="en-US" w:eastAsia="zh-CN"/>
              </w:rPr>
              <w:t>1、</w:t>
            </w:r>
            <w:r>
              <w:rPr>
                <w:rFonts w:hint="eastAsia" w:ascii="黑体" w:hAnsi="宋体" w:eastAsia="黑体" w:cs="黑体"/>
                <w:i w:val="0"/>
                <w:color w:val="000000"/>
                <w:sz w:val="18"/>
                <w:szCs w:val="18"/>
                <w:u w:val="none"/>
              </w:rPr>
              <w:t>以上项目</w:t>
            </w:r>
            <w:r>
              <w:rPr>
                <w:rFonts w:hint="eastAsia" w:ascii="黑体" w:hAnsi="宋体" w:eastAsia="黑体" w:cs="黑体"/>
                <w:i w:val="0"/>
                <w:color w:val="000000"/>
                <w:sz w:val="18"/>
                <w:szCs w:val="18"/>
                <w:u w:val="none"/>
                <w:lang w:eastAsia="zh-CN"/>
              </w:rPr>
              <w:t>所涉及的木材</w:t>
            </w:r>
            <w:r>
              <w:rPr>
                <w:rFonts w:hint="eastAsia" w:ascii="黑体" w:hAnsi="宋体" w:eastAsia="黑体" w:cs="黑体"/>
                <w:i w:val="0"/>
                <w:color w:val="000000"/>
                <w:sz w:val="18"/>
                <w:szCs w:val="18"/>
                <w:u w:val="none"/>
              </w:rPr>
              <w:t>均采用E1级</w:t>
            </w:r>
            <w:r>
              <w:rPr>
                <w:rFonts w:hint="eastAsia" w:ascii="黑体" w:hAnsi="宋体" w:eastAsia="黑体" w:cs="黑体"/>
                <w:i w:val="0"/>
                <w:color w:val="000000"/>
                <w:sz w:val="18"/>
                <w:szCs w:val="18"/>
                <w:u w:val="none"/>
                <w:lang w:eastAsia="zh-CN"/>
              </w:rPr>
              <w:t>材质（投标时需附检测报告复印件），采用高级家具五金</w:t>
            </w:r>
            <w:r>
              <w:rPr>
                <w:rFonts w:hint="eastAsia" w:ascii="黑体" w:hAnsi="宋体" w:eastAsia="黑体" w:cs="黑体"/>
                <w:i w:val="0"/>
                <w:color w:val="000000"/>
                <w:sz w:val="18"/>
                <w:szCs w:val="18"/>
                <w:u w:val="none"/>
              </w:rPr>
              <w:t>。</w:t>
            </w:r>
          </w:p>
        </w:tc>
      </w:tr>
      <w:tr>
        <w:tblPrEx>
          <w:tblLayout w:type="fixed"/>
          <w:tblCellMar>
            <w:top w:w="0" w:type="dxa"/>
            <w:left w:w="0" w:type="dxa"/>
            <w:bottom w:w="0" w:type="dxa"/>
            <w:right w:w="0" w:type="dxa"/>
          </w:tblCellMar>
        </w:tblPrEx>
        <w:trPr>
          <w:trHeight w:val="600" w:hRule="atLeast"/>
        </w:trPr>
        <w:tc>
          <w:tcPr>
            <w:tcW w:w="10965" w:type="dxa"/>
            <w:gridSpan w:val="9"/>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黑体" w:hAnsi="宋体" w:eastAsia="黑体" w:cs="黑体"/>
                <w:i w:val="0"/>
                <w:color w:val="000000"/>
                <w:sz w:val="18"/>
                <w:szCs w:val="18"/>
                <w:u w:val="none"/>
                <w:lang w:val="en-US" w:eastAsia="zh-CN"/>
              </w:rPr>
            </w:pPr>
            <w:r>
              <w:rPr>
                <w:rFonts w:hint="eastAsia" w:ascii="黑体" w:hAnsi="宋体" w:eastAsia="黑体" w:cs="黑体"/>
                <w:i w:val="0"/>
                <w:color w:val="000000"/>
                <w:sz w:val="18"/>
                <w:szCs w:val="18"/>
                <w:u w:val="none"/>
                <w:lang w:val="en-US" w:eastAsia="zh-CN"/>
              </w:rPr>
              <w:t>2、所有油漆饰面项目中，涂装工艺采用“华润”油漆或同品牌，具体要求三底两面工艺。</w:t>
            </w:r>
          </w:p>
        </w:tc>
      </w:tr>
      <w:tr>
        <w:tblPrEx>
          <w:tblLayout w:type="fixed"/>
          <w:tblCellMar>
            <w:top w:w="0" w:type="dxa"/>
            <w:left w:w="0" w:type="dxa"/>
            <w:bottom w:w="0" w:type="dxa"/>
            <w:right w:w="0" w:type="dxa"/>
          </w:tblCellMar>
        </w:tblPrEx>
        <w:trPr>
          <w:trHeight w:val="600" w:hRule="atLeast"/>
        </w:trPr>
        <w:tc>
          <w:tcPr>
            <w:tcW w:w="10965" w:type="dxa"/>
            <w:gridSpan w:val="9"/>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黑体" w:hAnsi="宋体" w:eastAsia="黑体" w:cs="黑体"/>
                <w:i w:val="0"/>
                <w:color w:val="000000"/>
                <w:sz w:val="18"/>
                <w:szCs w:val="18"/>
                <w:u w:val="none"/>
                <w:lang w:val="en-US" w:eastAsia="zh-CN"/>
              </w:rPr>
            </w:pPr>
            <w:r>
              <w:rPr>
                <w:rFonts w:hint="eastAsia" w:ascii="黑体" w:hAnsi="宋体" w:eastAsia="黑体" w:cs="黑体"/>
                <w:i w:val="0"/>
                <w:color w:val="000000"/>
                <w:sz w:val="18"/>
                <w:szCs w:val="18"/>
                <w:u w:val="none"/>
                <w:lang w:val="en-US" w:eastAsia="zh-CN"/>
              </w:rPr>
              <w:t>3、报价以设计施工图纸为参照,与现场完成面尺寸可能存在差异；若尺寸差异在±5%之内，单项价格不做调整；超出±5%则单价按照比例上浮或下浮。</w:t>
            </w:r>
          </w:p>
        </w:tc>
      </w:tr>
      <w:tr>
        <w:tblPrEx>
          <w:tblLayout w:type="fixed"/>
          <w:tblCellMar>
            <w:top w:w="0" w:type="dxa"/>
            <w:left w:w="0" w:type="dxa"/>
            <w:bottom w:w="0" w:type="dxa"/>
            <w:right w:w="0" w:type="dxa"/>
          </w:tblCellMar>
        </w:tblPrEx>
        <w:trPr>
          <w:trHeight w:val="600" w:hRule="atLeast"/>
        </w:trPr>
        <w:tc>
          <w:tcPr>
            <w:tcW w:w="10965" w:type="dxa"/>
            <w:gridSpan w:val="9"/>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黑体" w:hAnsi="宋体" w:eastAsia="黑体" w:cs="黑体"/>
                <w:i w:val="0"/>
                <w:color w:val="000000"/>
                <w:sz w:val="18"/>
                <w:szCs w:val="18"/>
                <w:u w:val="none"/>
                <w:lang w:val="en-US" w:eastAsia="zh-CN"/>
              </w:rPr>
            </w:pPr>
            <w:r>
              <w:rPr>
                <w:rFonts w:hint="eastAsia" w:ascii="黑体" w:hAnsi="宋体" w:eastAsia="黑体" w:cs="黑体"/>
                <w:i w:val="0"/>
                <w:color w:val="000000"/>
                <w:kern w:val="2"/>
                <w:sz w:val="18"/>
                <w:szCs w:val="18"/>
                <w:u w:val="none"/>
                <w:lang w:val="en-US" w:eastAsia="zh-CN" w:bidi="ar-SA"/>
              </w:rPr>
              <w:t>4、报价需要含税、含运费（送货到店）、安装费，需开具增值税专用发票。</w:t>
            </w:r>
          </w:p>
        </w:tc>
      </w:tr>
      <w:tr>
        <w:tblPrEx>
          <w:tblLayout w:type="fixed"/>
          <w:tblCellMar>
            <w:top w:w="0" w:type="dxa"/>
            <w:left w:w="0" w:type="dxa"/>
            <w:bottom w:w="0" w:type="dxa"/>
            <w:right w:w="0" w:type="dxa"/>
          </w:tblCellMar>
        </w:tblPrEx>
        <w:trPr>
          <w:trHeight w:val="600" w:hRule="atLeast"/>
        </w:trPr>
        <w:tc>
          <w:tcPr>
            <w:tcW w:w="10965" w:type="dxa"/>
            <w:gridSpan w:val="9"/>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黑体" w:hAnsi="宋体" w:eastAsia="黑体" w:cs="黑体"/>
                <w:i w:val="0"/>
                <w:color w:val="000000"/>
                <w:kern w:val="2"/>
                <w:sz w:val="18"/>
                <w:szCs w:val="18"/>
                <w:u w:val="none"/>
                <w:lang w:val="en-US" w:eastAsia="zh-CN" w:bidi="ar-SA"/>
              </w:rPr>
            </w:pPr>
            <w:r>
              <w:rPr>
                <w:rFonts w:hint="eastAsia" w:ascii="黑体" w:hAnsi="宋体" w:eastAsia="黑体" w:cs="黑体"/>
                <w:i w:val="0"/>
                <w:color w:val="000000"/>
                <w:kern w:val="2"/>
                <w:sz w:val="18"/>
                <w:szCs w:val="18"/>
                <w:highlight w:val="yellow"/>
                <w:u w:val="none"/>
                <w:lang w:val="en-US" w:eastAsia="zh-CN" w:bidi="ar-SA"/>
              </w:rPr>
              <w:t>5、报价中所涉及的软、硬包如无双方确认的材料，均按60元/米的面料。</w:t>
            </w:r>
          </w:p>
        </w:tc>
      </w:tr>
      <w:tr>
        <w:tblPrEx>
          <w:tblLayout w:type="fixed"/>
          <w:tblCellMar>
            <w:top w:w="0" w:type="dxa"/>
            <w:left w:w="0" w:type="dxa"/>
            <w:bottom w:w="0" w:type="dxa"/>
            <w:right w:w="0" w:type="dxa"/>
          </w:tblCellMar>
        </w:tblPrEx>
        <w:trPr>
          <w:trHeight w:val="600" w:hRule="atLeast"/>
        </w:trPr>
        <w:tc>
          <w:tcPr>
            <w:tcW w:w="10965" w:type="dxa"/>
            <w:gridSpan w:val="9"/>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黑体" w:hAnsi="宋体" w:eastAsia="黑体" w:cs="黑体"/>
                <w:i w:val="0"/>
                <w:color w:val="000000"/>
                <w:kern w:val="2"/>
                <w:sz w:val="18"/>
                <w:szCs w:val="18"/>
                <w:highlight w:val="none"/>
                <w:u w:val="none"/>
                <w:lang w:val="en-US" w:eastAsia="zh-CN" w:bidi="ar-SA"/>
              </w:rPr>
            </w:pPr>
            <w:r>
              <w:rPr>
                <w:rFonts w:hint="eastAsia" w:ascii="黑体" w:hAnsi="宋体" w:eastAsia="黑体" w:cs="黑体"/>
                <w:i w:val="0"/>
                <w:color w:val="000000"/>
                <w:kern w:val="2"/>
                <w:sz w:val="18"/>
                <w:szCs w:val="18"/>
                <w:highlight w:val="none"/>
                <w:u w:val="none"/>
                <w:lang w:val="en-US" w:eastAsia="zh-CN" w:bidi="ar-SA"/>
              </w:rPr>
              <w:t>6、家具保修期为2年。</w:t>
            </w:r>
          </w:p>
        </w:tc>
      </w:tr>
      <w:tr>
        <w:tblPrEx>
          <w:tblLayout w:type="fixed"/>
          <w:tblCellMar>
            <w:top w:w="0" w:type="dxa"/>
            <w:left w:w="0" w:type="dxa"/>
            <w:bottom w:w="0" w:type="dxa"/>
            <w:right w:w="0" w:type="dxa"/>
          </w:tblCellMar>
        </w:tblPrEx>
        <w:trPr>
          <w:trHeight w:val="600" w:hRule="atLeast"/>
        </w:trPr>
        <w:tc>
          <w:tcPr>
            <w:tcW w:w="10965" w:type="dxa"/>
            <w:gridSpan w:val="9"/>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黑体" w:hAnsi="宋体" w:eastAsia="黑体" w:cs="黑体"/>
                <w:i w:val="0"/>
                <w:color w:val="000000"/>
                <w:kern w:val="2"/>
                <w:sz w:val="18"/>
                <w:szCs w:val="18"/>
                <w:highlight w:val="none"/>
                <w:u w:val="none"/>
                <w:lang w:val="en-US" w:eastAsia="zh-CN" w:bidi="ar-SA"/>
              </w:rPr>
            </w:pPr>
            <w:r>
              <w:rPr>
                <w:rFonts w:hint="eastAsia" w:ascii="黑体" w:hAnsi="宋体" w:eastAsia="黑体" w:cs="黑体"/>
                <w:i w:val="0"/>
                <w:color w:val="000000"/>
                <w:kern w:val="2"/>
                <w:sz w:val="18"/>
                <w:szCs w:val="18"/>
                <w:highlight w:val="none"/>
                <w:u w:val="none"/>
                <w:lang w:val="en-US" w:eastAsia="zh-CN" w:bidi="ar-SA"/>
              </w:rPr>
              <w:t>7、交期为45日历天。</w:t>
            </w:r>
          </w:p>
        </w:tc>
      </w:tr>
    </w:tbl>
    <w:p>
      <w:pPr>
        <w:rPr>
          <w:rFonts w:hint="eastAsia" w:ascii="仿宋" w:hAnsi="仿宋" w:eastAsia="仿宋" w:cs="仿宋"/>
          <w:b/>
          <w:bCs/>
          <w:color w:val="000000"/>
          <w:sz w:val="24"/>
          <w:szCs w:val="24"/>
          <w:lang w:val="en-US" w:eastAsia="zh-CN"/>
        </w:rPr>
      </w:pPr>
    </w:p>
    <w:p>
      <w:pPr>
        <w:rPr>
          <w:rFonts w:hint="eastAsia" w:ascii="仿宋" w:hAnsi="仿宋" w:eastAsia="仿宋" w:cs="仿宋"/>
          <w:b/>
          <w:bCs/>
          <w:color w:val="000000"/>
          <w:sz w:val="24"/>
          <w:szCs w:val="24"/>
          <w:lang w:val="en-US" w:eastAsia="zh-CN"/>
        </w:rPr>
      </w:pPr>
    </w:p>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AdwwlPqQEAADsD&#10;AAAOAAAAAAAAAAEAIAAAACMBAABkcnMvZTJvRG9jLnhtbFBLBQYAAAAABgAGAFkBAAA+BQ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1A4FBD14"/>
    <w:multiLevelType w:val="singleLevel"/>
    <w:tmpl w:val="1A4FBD14"/>
    <w:lvl w:ilvl="0" w:tentative="0">
      <w:start w:val="1"/>
      <w:numFmt w:val="decimalEnclosedCircleChinese"/>
      <w:suff w:val="nothing"/>
      <w:lvlText w:val="%1、"/>
      <w:lvlJc w:val="left"/>
      <w:rPr>
        <w:rFonts w:hint="eastAsia"/>
      </w:rPr>
    </w:lvl>
  </w:abstractNum>
  <w:abstractNum w:abstractNumId="2">
    <w:nsid w:val="5A20AA93"/>
    <w:multiLevelType w:val="singleLevel"/>
    <w:tmpl w:val="5A20AA93"/>
    <w:lvl w:ilvl="0" w:tentative="0">
      <w:start w:val="2"/>
      <w:numFmt w:val="chineseCounting"/>
      <w:suff w:val="nothing"/>
      <w:lvlText w:val="第%1章"/>
      <w:lvlJc w:val="left"/>
    </w:lvl>
  </w:abstractNum>
  <w:abstractNum w:abstractNumId="3">
    <w:nsid w:val="7A1F5167"/>
    <w:multiLevelType w:val="multilevel"/>
    <w:tmpl w:val="7A1F5167"/>
    <w:lvl w:ilvl="0" w:tentative="0">
      <w:start w:val="1"/>
      <w:numFmt w:val="decimal"/>
      <w:pStyle w:val="40"/>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183EF2"/>
    <w:rsid w:val="02B3467F"/>
    <w:rsid w:val="02E70B0C"/>
    <w:rsid w:val="02F2315A"/>
    <w:rsid w:val="030546F2"/>
    <w:rsid w:val="033F3AC2"/>
    <w:rsid w:val="03B46ED9"/>
    <w:rsid w:val="03C42A1C"/>
    <w:rsid w:val="042B7828"/>
    <w:rsid w:val="047E4028"/>
    <w:rsid w:val="049669A0"/>
    <w:rsid w:val="04BA2A6D"/>
    <w:rsid w:val="04EF3402"/>
    <w:rsid w:val="053061FF"/>
    <w:rsid w:val="05A02791"/>
    <w:rsid w:val="05E02607"/>
    <w:rsid w:val="06A44178"/>
    <w:rsid w:val="06AC47FD"/>
    <w:rsid w:val="06BF642B"/>
    <w:rsid w:val="07463C80"/>
    <w:rsid w:val="076B32D4"/>
    <w:rsid w:val="07CD30E4"/>
    <w:rsid w:val="082F0254"/>
    <w:rsid w:val="0856062D"/>
    <w:rsid w:val="091D3F5E"/>
    <w:rsid w:val="094F412C"/>
    <w:rsid w:val="09AE3F0E"/>
    <w:rsid w:val="09EA5B12"/>
    <w:rsid w:val="09F424AA"/>
    <w:rsid w:val="0A360457"/>
    <w:rsid w:val="0A7C3DA6"/>
    <w:rsid w:val="0B624E01"/>
    <w:rsid w:val="0CCC038B"/>
    <w:rsid w:val="0CF35A6D"/>
    <w:rsid w:val="0D741A78"/>
    <w:rsid w:val="0D87650A"/>
    <w:rsid w:val="0D9F761A"/>
    <w:rsid w:val="0DD643AE"/>
    <w:rsid w:val="0E0541C1"/>
    <w:rsid w:val="0E1B31AF"/>
    <w:rsid w:val="0E620C08"/>
    <w:rsid w:val="0E7A670E"/>
    <w:rsid w:val="0EA07550"/>
    <w:rsid w:val="0EEC098B"/>
    <w:rsid w:val="0F4E0335"/>
    <w:rsid w:val="0F863BE2"/>
    <w:rsid w:val="0FD445F4"/>
    <w:rsid w:val="101E2384"/>
    <w:rsid w:val="105630BE"/>
    <w:rsid w:val="116F0D88"/>
    <w:rsid w:val="119D18BB"/>
    <w:rsid w:val="11A95A00"/>
    <w:rsid w:val="11C77DB8"/>
    <w:rsid w:val="11FE3433"/>
    <w:rsid w:val="12632863"/>
    <w:rsid w:val="130C13F7"/>
    <w:rsid w:val="13AD5D4B"/>
    <w:rsid w:val="13B30401"/>
    <w:rsid w:val="14291F78"/>
    <w:rsid w:val="14F733F0"/>
    <w:rsid w:val="14FA4BBC"/>
    <w:rsid w:val="16755A32"/>
    <w:rsid w:val="169B2570"/>
    <w:rsid w:val="171668FF"/>
    <w:rsid w:val="17291035"/>
    <w:rsid w:val="173C598B"/>
    <w:rsid w:val="17846ED2"/>
    <w:rsid w:val="178F1883"/>
    <w:rsid w:val="17B950B8"/>
    <w:rsid w:val="17FB4C11"/>
    <w:rsid w:val="18056EF7"/>
    <w:rsid w:val="185446B4"/>
    <w:rsid w:val="18DC484F"/>
    <w:rsid w:val="19AD68D9"/>
    <w:rsid w:val="1A0C52D9"/>
    <w:rsid w:val="1A267315"/>
    <w:rsid w:val="1AF72300"/>
    <w:rsid w:val="1AFC0475"/>
    <w:rsid w:val="1BC570E4"/>
    <w:rsid w:val="1BDC1168"/>
    <w:rsid w:val="1BFA3660"/>
    <w:rsid w:val="1C58631E"/>
    <w:rsid w:val="1C5F36CE"/>
    <w:rsid w:val="1C850908"/>
    <w:rsid w:val="1CFF670B"/>
    <w:rsid w:val="1D7A2005"/>
    <w:rsid w:val="1D9305D0"/>
    <w:rsid w:val="1DAA732B"/>
    <w:rsid w:val="1DB45EFF"/>
    <w:rsid w:val="1DCE40B2"/>
    <w:rsid w:val="1E4C161E"/>
    <w:rsid w:val="1EE62766"/>
    <w:rsid w:val="1F6024E0"/>
    <w:rsid w:val="207E7F83"/>
    <w:rsid w:val="20C10BA7"/>
    <w:rsid w:val="20E46263"/>
    <w:rsid w:val="210F7AF4"/>
    <w:rsid w:val="21892F84"/>
    <w:rsid w:val="218C3E40"/>
    <w:rsid w:val="21A4008A"/>
    <w:rsid w:val="21D449AB"/>
    <w:rsid w:val="22030B0F"/>
    <w:rsid w:val="22206576"/>
    <w:rsid w:val="228C7812"/>
    <w:rsid w:val="23B12644"/>
    <w:rsid w:val="2490627B"/>
    <w:rsid w:val="25301B87"/>
    <w:rsid w:val="25A36702"/>
    <w:rsid w:val="25E34D3F"/>
    <w:rsid w:val="269C3786"/>
    <w:rsid w:val="26F040DE"/>
    <w:rsid w:val="275C50D1"/>
    <w:rsid w:val="27BB268D"/>
    <w:rsid w:val="27DE63C3"/>
    <w:rsid w:val="27EB7D12"/>
    <w:rsid w:val="281B66B2"/>
    <w:rsid w:val="28367BE4"/>
    <w:rsid w:val="28C46E10"/>
    <w:rsid w:val="29246921"/>
    <w:rsid w:val="29BF3475"/>
    <w:rsid w:val="2A2969F4"/>
    <w:rsid w:val="2A541F38"/>
    <w:rsid w:val="2A56475E"/>
    <w:rsid w:val="2A9030DF"/>
    <w:rsid w:val="2AD14C79"/>
    <w:rsid w:val="2B342EB3"/>
    <w:rsid w:val="2B88597B"/>
    <w:rsid w:val="2C3B11CB"/>
    <w:rsid w:val="2C7B2CA8"/>
    <w:rsid w:val="2C91378A"/>
    <w:rsid w:val="2CA4188C"/>
    <w:rsid w:val="2CAC0903"/>
    <w:rsid w:val="2CDF2662"/>
    <w:rsid w:val="2CF97D51"/>
    <w:rsid w:val="2D5C1B84"/>
    <w:rsid w:val="2D9B09E0"/>
    <w:rsid w:val="2DCC337E"/>
    <w:rsid w:val="2E1D5AD2"/>
    <w:rsid w:val="2E2267E9"/>
    <w:rsid w:val="2E367DBC"/>
    <w:rsid w:val="2E8E6225"/>
    <w:rsid w:val="2E9500F1"/>
    <w:rsid w:val="2F344DC8"/>
    <w:rsid w:val="2F51066A"/>
    <w:rsid w:val="2F8E0489"/>
    <w:rsid w:val="31906EAD"/>
    <w:rsid w:val="31D25200"/>
    <w:rsid w:val="32125E52"/>
    <w:rsid w:val="32701839"/>
    <w:rsid w:val="32C73A5B"/>
    <w:rsid w:val="33694E96"/>
    <w:rsid w:val="33697DC8"/>
    <w:rsid w:val="3370332B"/>
    <w:rsid w:val="337F0129"/>
    <w:rsid w:val="338E6DE1"/>
    <w:rsid w:val="33CC1E01"/>
    <w:rsid w:val="345A3CFF"/>
    <w:rsid w:val="34AA1F07"/>
    <w:rsid w:val="34E66245"/>
    <w:rsid w:val="35AA136C"/>
    <w:rsid w:val="35CB0F7E"/>
    <w:rsid w:val="35DD1ABA"/>
    <w:rsid w:val="35EC631A"/>
    <w:rsid w:val="365D72CC"/>
    <w:rsid w:val="36637E92"/>
    <w:rsid w:val="36B73C9E"/>
    <w:rsid w:val="370E4363"/>
    <w:rsid w:val="3732203A"/>
    <w:rsid w:val="375F2FDB"/>
    <w:rsid w:val="37AA5893"/>
    <w:rsid w:val="37DF4DA7"/>
    <w:rsid w:val="37EC067D"/>
    <w:rsid w:val="37F56C63"/>
    <w:rsid w:val="383E30B1"/>
    <w:rsid w:val="38B45619"/>
    <w:rsid w:val="39124837"/>
    <w:rsid w:val="3A537EB4"/>
    <w:rsid w:val="3B4746CE"/>
    <w:rsid w:val="3B812076"/>
    <w:rsid w:val="3BD151ED"/>
    <w:rsid w:val="3C5052F4"/>
    <w:rsid w:val="3C731B93"/>
    <w:rsid w:val="3D584B2F"/>
    <w:rsid w:val="3D607ACA"/>
    <w:rsid w:val="3D7B4D40"/>
    <w:rsid w:val="3D9C350E"/>
    <w:rsid w:val="3E097D7B"/>
    <w:rsid w:val="3E7A3D4A"/>
    <w:rsid w:val="3F4D7D97"/>
    <w:rsid w:val="3FA33AD8"/>
    <w:rsid w:val="3FE810FD"/>
    <w:rsid w:val="403D46E0"/>
    <w:rsid w:val="4073181B"/>
    <w:rsid w:val="409D363B"/>
    <w:rsid w:val="41103E9B"/>
    <w:rsid w:val="41F07EC1"/>
    <w:rsid w:val="422C2F00"/>
    <w:rsid w:val="43110884"/>
    <w:rsid w:val="4375684E"/>
    <w:rsid w:val="43AA0AE4"/>
    <w:rsid w:val="43F21023"/>
    <w:rsid w:val="442B216A"/>
    <w:rsid w:val="4480471D"/>
    <w:rsid w:val="449017FE"/>
    <w:rsid w:val="45424C4A"/>
    <w:rsid w:val="456C74AC"/>
    <w:rsid w:val="45875DE0"/>
    <w:rsid w:val="46337FCA"/>
    <w:rsid w:val="46831EA8"/>
    <w:rsid w:val="47792559"/>
    <w:rsid w:val="48C377A6"/>
    <w:rsid w:val="49074C73"/>
    <w:rsid w:val="490C14AE"/>
    <w:rsid w:val="492A4491"/>
    <w:rsid w:val="49907691"/>
    <w:rsid w:val="49CD4389"/>
    <w:rsid w:val="49E44009"/>
    <w:rsid w:val="49EE3483"/>
    <w:rsid w:val="49F477ED"/>
    <w:rsid w:val="49FB0086"/>
    <w:rsid w:val="4AA00BE0"/>
    <w:rsid w:val="4ACC77BD"/>
    <w:rsid w:val="4AF90EFC"/>
    <w:rsid w:val="4B211C49"/>
    <w:rsid w:val="4B600068"/>
    <w:rsid w:val="4BA05CCB"/>
    <w:rsid w:val="4C1079C5"/>
    <w:rsid w:val="4C2B6F87"/>
    <w:rsid w:val="4C704F30"/>
    <w:rsid w:val="4D034B13"/>
    <w:rsid w:val="4D98605B"/>
    <w:rsid w:val="4DE034F7"/>
    <w:rsid w:val="4E9D154C"/>
    <w:rsid w:val="4ECE20AE"/>
    <w:rsid w:val="4EDD4EA7"/>
    <w:rsid w:val="4EF61CFF"/>
    <w:rsid w:val="4F5E27E2"/>
    <w:rsid w:val="4FD5143E"/>
    <w:rsid w:val="4FFF6617"/>
    <w:rsid w:val="50502A0C"/>
    <w:rsid w:val="509E4071"/>
    <w:rsid w:val="50D24405"/>
    <w:rsid w:val="50FF30BE"/>
    <w:rsid w:val="51007A44"/>
    <w:rsid w:val="510D4F58"/>
    <w:rsid w:val="518C2C03"/>
    <w:rsid w:val="5251274D"/>
    <w:rsid w:val="52722A63"/>
    <w:rsid w:val="530071CC"/>
    <w:rsid w:val="53157485"/>
    <w:rsid w:val="5319393D"/>
    <w:rsid w:val="532C0C91"/>
    <w:rsid w:val="53DD5FC6"/>
    <w:rsid w:val="543A2922"/>
    <w:rsid w:val="54847773"/>
    <w:rsid w:val="54B866C9"/>
    <w:rsid w:val="54FA1CA7"/>
    <w:rsid w:val="558619EB"/>
    <w:rsid w:val="55887DF1"/>
    <w:rsid w:val="55973D2A"/>
    <w:rsid w:val="559C7E5C"/>
    <w:rsid w:val="55A10B51"/>
    <w:rsid w:val="55DF25A4"/>
    <w:rsid w:val="57D14C02"/>
    <w:rsid w:val="57FD4FE7"/>
    <w:rsid w:val="580F7DC7"/>
    <w:rsid w:val="586C64CB"/>
    <w:rsid w:val="589C290E"/>
    <w:rsid w:val="59752E25"/>
    <w:rsid w:val="59817CCE"/>
    <w:rsid w:val="598A5175"/>
    <w:rsid w:val="599256CF"/>
    <w:rsid w:val="599A3C33"/>
    <w:rsid w:val="5A236EC2"/>
    <w:rsid w:val="5A43340D"/>
    <w:rsid w:val="5A450F6B"/>
    <w:rsid w:val="5A613734"/>
    <w:rsid w:val="5A6E519E"/>
    <w:rsid w:val="5B873401"/>
    <w:rsid w:val="5B8A3610"/>
    <w:rsid w:val="5BAF3B52"/>
    <w:rsid w:val="5C625009"/>
    <w:rsid w:val="5C745E91"/>
    <w:rsid w:val="5C964D3C"/>
    <w:rsid w:val="5CBF1249"/>
    <w:rsid w:val="5CEB2E23"/>
    <w:rsid w:val="5D070CE7"/>
    <w:rsid w:val="5DB837FB"/>
    <w:rsid w:val="5DD54524"/>
    <w:rsid w:val="5EA66F51"/>
    <w:rsid w:val="5F213563"/>
    <w:rsid w:val="5F53513A"/>
    <w:rsid w:val="5F9B1D33"/>
    <w:rsid w:val="601F2EA1"/>
    <w:rsid w:val="60552271"/>
    <w:rsid w:val="607B3751"/>
    <w:rsid w:val="609B01A1"/>
    <w:rsid w:val="60D26CFA"/>
    <w:rsid w:val="60E046A2"/>
    <w:rsid w:val="612239EA"/>
    <w:rsid w:val="616B6389"/>
    <w:rsid w:val="6180007C"/>
    <w:rsid w:val="61C071FF"/>
    <w:rsid w:val="61D51E88"/>
    <w:rsid w:val="61EB5F5B"/>
    <w:rsid w:val="627231E0"/>
    <w:rsid w:val="6341693F"/>
    <w:rsid w:val="63474995"/>
    <w:rsid w:val="637827B5"/>
    <w:rsid w:val="63C40DE8"/>
    <w:rsid w:val="63EF5947"/>
    <w:rsid w:val="64252099"/>
    <w:rsid w:val="642E083B"/>
    <w:rsid w:val="64725D11"/>
    <w:rsid w:val="64CB2C98"/>
    <w:rsid w:val="64D17D81"/>
    <w:rsid w:val="64E22FFD"/>
    <w:rsid w:val="664E76E7"/>
    <w:rsid w:val="665E0C30"/>
    <w:rsid w:val="669303D9"/>
    <w:rsid w:val="66B172B2"/>
    <w:rsid w:val="67077ED9"/>
    <w:rsid w:val="67162867"/>
    <w:rsid w:val="67936A17"/>
    <w:rsid w:val="67950753"/>
    <w:rsid w:val="67A13562"/>
    <w:rsid w:val="67E02E9E"/>
    <w:rsid w:val="695E2FDB"/>
    <w:rsid w:val="6A285CE3"/>
    <w:rsid w:val="6A756629"/>
    <w:rsid w:val="6AFF3B23"/>
    <w:rsid w:val="6B591C27"/>
    <w:rsid w:val="6BA862BD"/>
    <w:rsid w:val="6BF87318"/>
    <w:rsid w:val="6C1D1673"/>
    <w:rsid w:val="6C222A6F"/>
    <w:rsid w:val="6CB92937"/>
    <w:rsid w:val="6D22664C"/>
    <w:rsid w:val="6D3911BE"/>
    <w:rsid w:val="6E9B756B"/>
    <w:rsid w:val="6FE60CE4"/>
    <w:rsid w:val="6FFD78D4"/>
    <w:rsid w:val="705928DA"/>
    <w:rsid w:val="708915EC"/>
    <w:rsid w:val="70BD080D"/>
    <w:rsid w:val="716235F4"/>
    <w:rsid w:val="719F083E"/>
    <w:rsid w:val="71C3638A"/>
    <w:rsid w:val="71CF1C1D"/>
    <w:rsid w:val="71D06DDE"/>
    <w:rsid w:val="720311C6"/>
    <w:rsid w:val="72730101"/>
    <w:rsid w:val="72DC67C8"/>
    <w:rsid w:val="7321788E"/>
    <w:rsid w:val="735D5A77"/>
    <w:rsid w:val="749116C1"/>
    <w:rsid w:val="74E819FA"/>
    <w:rsid w:val="75192DAF"/>
    <w:rsid w:val="75265064"/>
    <w:rsid w:val="75AE223D"/>
    <w:rsid w:val="766D2A87"/>
    <w:rsid w:val="768B77ED"/>
    <w:rsid w:val="769A13A3"/>
    <w:rsid w:val="770601E9"/>
    <w:rsid w:val="7714539C"/>
    <w:rsid w:val="774760CB"/>
    <w:rsid w:val="779E2A31"/>
    <w:rsid w:val="7827349A"/>
    <w:rsid w:val="79D346EE"/>
    <w:rsid w:val="7A644347"/>
    <w:rsid w:val="7B09414F"/>
    <w:rsid w:val="7B1D42EB"/>
    <w:rsid w:val="7BFA1B51"/>
    <w:rsid w:val="7CF72D47"/>
    <w:rsid w:val="7CFA5801"/>
    <w:rsid w:val="7D49411F"/>
    <w:rsid w:val="7E025758"/>
    <w:rsid w:val="7E3F627C"/>
    <w:rsid w:val="7E6606C5"/>
    <w:rsid w:val="7ED76318"/>
    <w:rsid w:val="7F165714"/>
    <w:rsid w:val="7F6233FC"/>
    <w:rsid w:val="7F781D3D"/>
    <w:rsid w:val="7F7C75F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8"/>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22">
    <w:name w:val="Default Paragraph Font"/>
    <w:unhideWhenUsed/>
    <w:qFormat/>
    <w:uiPriority w:val="1"/>
  </w:style>
  <w:style w:type="table" w:default="1" w:styleId="20">
    <w:name w:val="Normal Table"/>
    <w:unhideWhenUsed/>
    <w:qFormat/>
    <w:uiPriority w:val="99"/>
    <w:tblPr>
      <w:tblLayout w:type="fixed"/>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7"/>
    <w:qFormat/>
    <w:uiPriority w:val="0"/>
    <w:rPr>
      <w:rFonts w:ascii="宋体" w:hAnsi="Courier New"/>
      <w:szCs w:val="20"/>
    </w:rPr>
  </w:style>
  <w:style w:type="paragraph" w:styleId="11">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2">
    <w:name w:val="Balloon Text"/>
    <w:basedOn w:val="1"/>
    <w:link w:val="32"/>
    <w:unhideWhenUsed/>
    <w:qFormat/>
    <w:uiPriority w:val="0"/>
    <w:rPr>
      <w:sz w:val="18"/>
      <w:szCs w:val="18"/>
    </w:rPr>
  </w:style>
  <w:style w:type="paragraph" w:styleId="13">
    <w:name w:val="footer"/>
    <w:basedOn w:val="1"/>
    <w:link w:val="26"/>
    <w:qFormat/>
    <w:uiPriority w:val="0"/>
    <w:pPr>
      <w:tabs>
        <w:tab w:val="center" w:pos="4153"/>
        <w:tab w:val="right" w:pos="8306"/>
      </w:tabs>
      <w:snapToGrid w:val="0"/>
      <w:jc w:val="left"/>
    </w:pPr>
    <w:rPr>
      <w:sz w:val="18"/>
      <w:szCs w:val="18"/>
    </w:rPr>
  </w:style>
  <w:style w:type="paragraph" w:styleId="14">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6">
    <w:name w:val="Body Text Indent 3"/>
    <w:basedOn w:val="1"/>
    <w:unhideWhenUsed/>
    <w:qFormat/>
    <w:uiPriority w:val="0"/>
    <w:pPr>
      <w:ind w:left="150"/>
    </w:pPr>
    <w:rPr>
      <w:sz w:val="28"/>
    </w:rPr>
  </w:style>
  <w:style w:type="paragraph" w:styleId="17">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9">
    <w:name w:val="Title"/>
    <w:basedOn w:val="1"/>
    <w:next w:val="1"/>
    <w:link w:val="37"/>
    <w:qFormat/>
    <w:uiPriority w:val="0"/>
    <w:pPr>
      <w:spacing w:before="240" w:after="60"/>
      <w:jc w:val="center"/>
      <w:outlineLvl w:val="0"/>
    </w:pPr>
    <w:rPr>
      <w:rFonts w:asciiTheme="majorHAnsi" w:hAnsiTheme="majorHAnsi" w:cstheme="majorBidi"/>
      <w:b/>
      <w:bCs/>
      <w:sz w:val="32"/>
      <w:szCs w:val="32"/>
    </w:rPr>
  </w:style>
  <w:style w:type="table" w:styleId="21">
    <w:name w:val="Table Grid"/>
    <w:basedOn w:val="2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23">
    <w:name w:val="Hyperlink"/>
    <w:basedOn w:val="22"/>
    <w:unhideWhenUsed/>
    <w:qFormat/>
    <w:uiPriority w:val="99"/>
    <w:rPr>
      <w:color w:val="0563C1" w:themeColor="hyperlink"/>
      <w:u w:val="single"/>
      <w14:textFill>
        <w14:solidFill>
          <w14:schemeClr w14:val="hlink"/>
        </w14:solidFill>
      </w14:textFill>
    </w:rPr>
  </w:style>
  <w:style w:type="character" w:styleId="24">
    <w:name w:val="annotation reference"/>
    <w:basedOn w:val="22"/>
    <w:unhideWhenUsed/>
    <w:qFormat/>
    <w:uiPriority w:val="0"/>
    <w:rPr>
      <w:sz w:val="21"/>
      <w:szCs w:val="21"/>
    </w:rPr>
  </w:style>
  <w:style w:type="character" w:customStyle="1" w:styleId="25">
    <w:name w:val="页眉 Char"/>
    <w:basedOn w:val="22"/>
    <w:link w:val="14"/>
    <w:qFormat/>
    <w:uiPriority w:val="0"/>
    <w:rPr>
      <w:kern w:val="2"/>
      <w:sz w:val="18"/>
      <w:szCs w:val="18"/>
    </w:rPr>
  </w:style>
  <w:style w:type="character" w:customStyle="1" w:styleId="26">
    <w:name w:val="页脚 Char"/>
    <w:basedOn w:val="22"/>
    <w:link w:val="13"/>
    <w:qFormat/>
    <w:uiPriority w:val="0"/>
    <w:rPr>
      <w:kern w:val="2"/>
      <w:sz w:val="18"/>
      <w:szCs w:val="18"/>
    </w:rPr>
  </w:style>
  <w:style w:type="character" w:customStyle="1" w:styleId="27">
    <w:name w:val="纯文本 Char"/>
    <w:basedOn w:val="22"/>
    <w:link w:val="10"/>
    <w:qFormat/>
    <w:uiPriority w:val="0"/>
    <w:rPr>
      <w:rFonts w:ascii="宋体" w:hAnsi="Courier New"/>
      <w:kern w:val="2"/>
      <w:sz w:val="21"/>
    </w:rPr>
  </w:style>
  <w:style w:type="character" w:customStyle="1" w:styleId="28">
    <w:name w:val="纯文本 Char1"/>
    <w:basedOn w:val="22"/>
    <w:qFormat/>
    <w:uiPriority w:val="0"/>
    <w:rPr>
      <w:rFonts w:ascii="宋体" w:hAnsi="Courier New" w:cs="Courier New"/>
      <w:kern w:val="2"/>
      <w:sz w:val="21"/>
      <w:szCs w:val="21"/>
    </w:rPr>
  </w:style>
  <w:style w:type="paragraph" w:customStyle="1" w:styleId="29">
    <w:name w:val="列出段落1"/>
    <w:basedOn w:val="1"/>
    <w:unhideWhenUsed/>
    <w:qFormat/>
    <w:uiPriority w:val="99"/>
    <w:pPr>
      <w:ind w:firstLine="420" w:firstLineChars="200"/>
    </w:pPr>
  </w:style>
  <w:style w:type="paragraph" w:customStyle="1" w:styleId="30">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Blockquote"/>
    <w:basedOn w:val="1"/>
    <w:qFormat/>
    <w:uiPriority w:val="0"/>
    <w:pPr>
      <w:autoSpaceDE w:val="0"/>
      <w:autoSpaceDN w:val="0"/>
      <w:adjustRightInd w:val="0"/>
      <w:ind w:left="360" w:right="360"/>
      <w:jc w:val="left"/>
    </w:pPr>
    <w:rPr>
      <w:kern w:val="0"/>
      <w:sz w:val="24"/>
      <w:szCs w:val="20"/>
    </w:rPr>
  </w:style>
  <w:style w:type="character" w:customStyle="1" w:styleId="32">
    <w:name w:val="批注框文本 Char"/>
    <w:basedOn w:val="22"/>
    <w:link w:val="12"/>
    <w:semiHidden/>
    <w:qFormat/>
    <w:uiPriority w:val="0"/>
    <w:rPr>
      <w:kern w:val="2"/>
      <w:sz w:val="18"/>
      <w:szCs w:val="18"/>
    </w:rPr>
  </w:style>
  <w:style w:type="paragraph" w:customStyle="1" w:styleId="33">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4">
    <w:name w:val="cjk"/>
    <w:basedOn w:val="1"/>
    <w:qFormat/>
    <w:uiPriority w:val="0"/>
    <w:pPr>
      <w:spacing w:before="284" w:after="100" w:afterAutospacing="1" w:line="360" w:lineRule="auto"/>
    </w:pPr>
    <w:rPr>
      <w:sz w:val="22"/>
    </w:rPr>
  </w:style>
  <w:style w:type="paragraph" w:customStyle="1" w:styleId="35">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6">
    <w:name w:val="List Paragraph"/>
    <w:basedOn w:val="1"/>
    <w:unhideWhenUsed/>
    <w:qFormat/>
    <w:uiPriority w:val="99"/>
    <w:pPr>
      <w:ind w:firstLine="420" w:firstLineChars="200"/>
    </w:pPr>
  </w:style>
  <w:style w:type="character" w:customStyle="1" w:styleId="37">
    <w:name w:val="标题 Char"/>
    <w:basedOn w:val="22"/>
    <w:link w:val="19"/>
    <w:qFormat/>
    <w:uiPriority w:val="0"/>
    <w:rPr>
      <w:rFonts w:asciiTheme="majorHAnsi" w:hAnsiTheme="majorHAnsi" w:cstheme="majorBidi"/>
      <w:b/>
      <w:bCs/>
      <w:kern w:val="2"/>
      <w:sz w:val="32"/>
      <w:szCs w:val="32"/>
    </w:rPr>
  </w:style>
  <w:style w:type="character" w:customStyle="1" w:styleId="38">
    <w:name w:val="标题 1 Char"/>
    <w:basedOn w:val="22"/>
    <w:link w:val="2"/>
    <w:qFormat/>
    <w:uiPriority w:val="0"/>
    <w:rPr>
      <w:b/>
      <w:bCs/>
      <w:kern w:val="44"/>
      <w:sz w:val="44"/>
      <w:szCs w:val="44"/>
    </w:rPr>
  </w:style>
  <w:style w:type="paragraph" w:customStyle="1" w:styleId="3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0">
    <w:name w:val="正文编号"/>
    <w:basedOn w:val="1"/>
    <w:next w:val="1"/>
    <w:qFormat/>
    <w:uiPriority w:val="0"/>
    <w:pPr>
      <w:widowControl/>
      <w:numPr>
        <w:ilvl w:val="0"/>
        <w:numId w:val="1"/>
      </w:numPr>
      <w:spacing w:line="360" w:lineRule="auto"/>
    </w:pPr>
    <w:rPr>
      <w:rFonts w:ascii="Calibri" w:hAnsi="Calibri"/>
      <w:kern w:val="0"/>
      <w:sz w:val="24"/>
      <w:szCs w:val="22"/>
    </w:rPr>
  </w:style>
  <w:style w:type="character" w:customStyle="1" w:styleId="41">
    <w:name w:val="font01"/>
    <w:basedOn w:val="22"/>
    <w:uiPriority w:val="0"/>
    <w:rPr>
      <w:rFonts w:hint="eastAsia" w:ascii="黑体" w:hAnsi="宋体" w:eastAsia="黑体" w:cs="黑体"/>
      <w:color w:val="FF0000"/>
      <w:sz w:val="18"/>
      <w:szCs w:val="18"/>
      <w:u w:val="none"/>
    </w:rPr>
  </w:style>
  <w:style w:type="character" w:customStyle="1" w:styleId="42">
    <w:name w:val="font11"/>
    <w:basedOn w:val="22"/>
    <w:uiPriority w:val="0"/>
    <w:rPr>
      <w:rFonts w:hint="eastAsia" w:ascii="黑体" w:hAnsi="宋体" w:eastAsia="黑体" w:cs="黑体"/>
      <w:color w:val="000000"/>
      <w:sz w:val="18"/>
      <w:szCs w:val="18"/>
      <w:u w:val="none"/>
    </w:rPr>
  </w:style>
  <w:style w:type="character" w:customStyle="1" w:styleId="43">
    <w:name w:val="font51"/>
    <w:basedOn w:val="22"/>
    <w:uiPriority w:val="0"/>
    <w:rPr>
      <w:rFonts w:hint="eastAsia" w:ascii="黑体" w:hAnsi="宋体" w:eastAsia="黑体" w:cs="黑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30</Pages>
  <Words>2558</Words>
  <Characters>14587</Characters>
  <Lines>121</Lines>
  <Paragraphs>34</Paragraphs>
  <TotalTime>23</TotalTime>
  <ScaleCrop>false</ScaleCrop>
  <LinksUpToDate>false</LinksUpToDate>
  <CharactersWithSpaces>17111</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2017-12-04T02:17:00Z</cp:lastPrinted>
  <dcterms:modified xsi:type="dcterms:W3CDTF">2019-05-10T04:56:52Z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