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rPr>
        <w:t>招标编号：SXCG201812-C-07</w:t>
      </w:r>
      <w:r>
        <w:rPr>
          <w:rFonts w:hint="eastAsia" w:asciiTheme="minorEastAsia" w:hAnsiTheme="minorEastAsia" w:eastAsiaTheme="minorEastAsia"/>
          <w:color w:val="000000"/>
          <w:sz w:val="28"/>
          <w:szCs w:val="28"/>
          <w:lang w:val="en-US" w:eastAsia="zh-CN"/>
        </w:rPr>
        <w:t>7</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胥城食品公司炒货礼盒采购项目</w:t>
      </w:r>
    </w:p>
    <w:p>
      <w:pPr>
        <w:overflowPunct w:val="0"/>
        <w:jc w:val="center"/>
        <w:rPr>
          <w:rFonts w:hint="eastAsia" w:asciiTheme="minorEastAsia" w:hAnsiTheme="minorEastAsia" w:eastAsiaTheme="minorEastAsia"/>
          <w:b/>
          <w:bCs/>
          <w:color w:val="000000"/>
          <w:sz w:val="28"/>
          <w:szCs w:val="28"/>
          <w:lang w:eastAsia="zh-CN"/>
        </w:rPr>
      </w:pPr>
      <w:r>
        <w:rPr>
          <w:rFonts w:hint="eastAsia" w:asciiTheme="minorEastAsia" w:hAnsiTheme="minorEastAsia" w:eastAsiaTheme="minorEastAsia"/>
          <w:color w:val="000000"/>
          <w:sz w:val="28"/>
          <w:szCs w:val="28"/>
          <w:lang w:eastAsia="zh-CN"/>
        </w:rPr>
        <w:t>使用</w:t>
      </w:r>
      <w:r>
        <w:rPr>
          <w:rFonts w:hint="eastAsia" w:asciiTheme="minorEastAsia" w:hAnsiTheme="minorEastAsia" w:eastAsiaTheme="minorEastAsia"/>
          <w:color w:val="000000"/>
          <w:sz w:val="28"/>
          <w:szCs w:val="28"/>
        </w:rPr>
        <w:t>单位：</w:t>
      </w:r>
      <w:r>
        <w:rPr>
          <w:rFonts w:hint="eastAsia" w:asciiTheme="minorEastAsia" w:hAnsiTheme="minorEastAsia" w:eastAsiaTheme="minorEastAsia"/>
          <w:color w:val="000000"/>
          <w:sz w:val="28"/>
          <w:szCs w:val="28"/>
          <w:lang w:eastAsia="zh-CN"/>
        </w:rPr>
        <w:t>苏州胥城食品有限公司</w:t>
      </w:r>
    </w:p>
    <w:p>
      <w:pPr>
        <w:overflowPunct w:val="0"/>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 xml:space="preserve"> </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8</w:t>
      </w:r>
      <w:r>
        <w:rPr>
          <w:rFonts w:hint="eastAsia" w:ascii="宋体" w:hAnsi="宋体"/>
          <w:color w:val="000000"/>
          <w:sz w:val="28"/>
          <w:szCs w:val="28"/>
        </w:rPr>
        <w:t xml:space="preserve">年 12月 </w:t>
      </w:r>
      <w:r>
        <w:rPr>
          <w:rFonts w:hint="eastAsia" w:ascii="宋体" w:hAnsi="宋体"/>
          <w:color w:val="000000"/>
          <w:sz w:val="28"/>
          <w:szCs w:val="28"/>
          <w:lang w:val="en-US" w:eastAsia="zh-CN"/>
        </w:rPr>
        <w:t>06</w:t>
      </w:r>
      <w:r>
        <w:rPr>
          <w:rFonts w:hint="eastAsia" w:ascii="宋体" w:hAnsi="宋体"/>
          <w:color w:val="000000"/>
          <w:sz w:val="28"/>
          <w:szCs w:val="28"/>
        </w:rPr>
        <w:t>日</w:t>
      </w:r>
    </w:p>
    <w:p>
      <w:pPr>
        <w:overflowPunct w:val="0"/>
        <w:rPr>
          <w:rFonts w:ascii="宋体" w:hAnsi="宋体"/>
          <w:color w:val="000000"/>
          <w:sz w:val="28"/>
          <w:szCs w:val="28"/>
        </w:rPr>
      </w:pPr>
    </w:p>
    <w:p>
      <w:pPr>
        <w:pStyle w:val="38"/>
        <w:jc w:val="center"/>
      </w:pPr>
      <w:r>
        <w:rPr>
          <w:sz w:val="52"/>
          <w:szCs w:val="52"/>
          <w:lang w:val="zh-CN"/>
        </w:rPr>
        <w:t>目</w:t>
      </w:r>
      <w:r>
        <w:rPr>
          <w:rFonts w:hint="eastAsia"/>
          <w:sz w:val="52"/>
          <w:szCs w:val="52"/>
          <w:lang w:val="en-US" w:eastAsia="zh-CN"/>
        </w:rPr>
        <w:t xml:space="preserve">  </w:t>
      </w:r>
      <w:r>
        <w:rPr>
          <w:sz w:val="52"/>
          <w:szCs w:val="52"/>
          <w:lang w:val="zh-CN"/>
        </w:rPr>
        <w:t>录</w:t>
      </w:r>
    </w:p>
    <w:p>
      <w:pPr>
        <w:pStyle w:val="15"/>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_Toc11145 </w:instrText>
      </w:r>
      <w:r>
        <w:fldChar w:fldCharType="separate"/>
      </w:r>
      <w:r>
        <w:rPr>
          <w:rFonts w:hint="eastAsia"/>
        </w:rPr>
        <w:t>第一章、投标邀请函</w:t>
      </w:r>
      <w:r>
        <w:tab/>
      </w:r>
      <w:r>
        <w:fldChar w:fldCharType="begin"/>
      </w:r>
      <w:r>
        <w:instrText xml:space="preserve"> PAGEREF _Toc11145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_Toc23750 </w:instrText>
      </w:r>
      <w:r>
        <w:fldChar w:fldCharType="separate"/>
      </w:r>
      <w:r>
        <w:t xml:space="preserve">第二章 </w:t>
      </w:r>
      <w:r>
        <w:rPr>
          <w:rFonts w:hint="eastAsia"/>
        </w:rPr>
        <w:t>、投标报价须知及投标文件</w:t>
      </w:r>
      <w:r>
        <w:tab/>
      </w:r>
      <w:r>
        <w:fldChar w:fldCharType="begin"/>
      </w:r>
      <w:r>
        <w:instrText xml:space="preserve"> PAGEREF _Toc23750 </w:instrText>
      </w:r>
      <w:r>
        <w:fldChar w:fldCharType="separate"/>
      </w:r>
      <w:r>
        <w:t>5</w:t>
      </w:r>
      <w:r>
        <w:fldChar w:fldCharType="end"/>
      </w:r>
      <w:r>
        <w:fldChar w:fldCharType="end"/>
      </w:r>
    </w:p>
    <w:p>
      <w:pPr>
        <w:pStyle w:val="15"/>
        <w:tabs>
          <w:tab w:val="right" w:leader="dot" w:pos="9072"/>
          <w:tab w:val="clear" w:pos="9062"/>
        </w:tabs>
      </w:pPr>
      <w:r>
        <w:fldChar w:fldCharType="begin"/>
      </w:r>
      <w:r>
        <w:instrText xml:space="preserve"> HYPERLINK \l _Toc3821 </w:instrText>
      </w:r>
      <w:r>
        <w:fldChar w:fldCharType="separate"/>
      </w:r>
      <w:r>
        <w:rPr>
          <w:rFonts w:hint="eastAsia"/>
        </w:rPr>
        <w:t>第三章、投标文件封面及分页格式</w:t>
      </w:r>
      <w:r>
        <w:tab/>
      </w:r>
      <w:r>
        <w:fldChar w:fldCharType="begin"/>
      </w:r>
      <w:r>
        <w:instrText xml:space="preserve"> PAGEREF _Toc3821 </w:instrText>
      </w:r>
      <w:r>
        <w:fldChar w:fldCharType="separate"/>
      </w:r>
      <w:r>
        <w:t>9</w:t>
      </w:r>
      <w:r>
        <w:fldChar w:fldCharType="end"/>
      </w:r>
      <w:r>
        <w:fldChar w:fldCharType="end"/>
      </w:r>
    </w:p>
    <w:p>
      <w:pPr>
        <w:pStyle w:val="15"/>
        <w:tabs>
          <w:tab w:val="right" w:leader="dot" w:pos="9072"/>
          <w:tab w:val="clear" w:pos="9062"/>
        </w:tabs>
      </w:pPr>
      <w:r>
        <w:fldChar w:fldCharType="begin"/>
      </w:r>
      <w:r>
        <w:instrText xml:space="preserve"> HYPERLINK \l _Toc32653 </w:instrText>
      </w:r>
      <w:r>
        <w:fldChar w:fldCharType="separate"/>
      </w:r>
      <w:r>
        <w:rPr>
          <w:rFonts w:hint="eastAsia"/>
        </w:rPr>
        <w:t>第四章、商务部分</w:t>
      </w:r>
      <w:r>
        <w:tab/>
      </w:r>
      <w:r>
        <w:fldChar w:fldCharType="begin"/>
      </w:r>
      <w:r>
        <w:instrText xml:space="preserve"> PAGEREF _Toc32653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_Toc20063 </w:instrText>
      </w:r>
      <w:r>
        <w:fldChar w:fldCharType="separate"/>
      </w:r>
      <w:r>
        <w:rPr>
          <w:rFonts w:hint="eastAsia"/>
        </w:rPr>
        <w:t>一、商务部分组成文件：</w:t>
      </w:r>
      <w:r>
        <w:tab/>
      </w:r>
      <w:r>
        <w:fldChar w:fldCharType="begin"/>
      </w:r>
      <w:r>
        <w:instrText xml:space="preserve"> PAGEREF _Toc20063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_Toc7685 </w:instrText>
      </w:r>
      <w:r>
        <w:fldChar w:fldCharType="separate"/>
      </w:r>
      <w:r>
        <w:rPr>
          <w:rFonts w:hint="eastAsia"/>
        </w:rPr>
        <w:t>二、部分文件格式：</w:t>
      </w:r>
      <w:r>
        <w:tab/>
      </w:r>
      <w:r>
        <w:fldChar w:fldCharType="begin"/>
      </w:r>
      <w:r>
        <w:instrText xml:space="preserve"> PAGEREF _Toc7685 </w:instrText>
      </w:r>
      <w:r>
        <w:fldChar w:fldCharType="separate"/>
      </w:r>
      <w:r>
        <w:t>12</w:t>
      </w:r>
      <w:r>
        <w:fldChar w:fldCharType="end"/>
      </w:r>
      <w:r>
        <w:fldChar w:fldCharType="end"/>
      </w:r>
    </w:p>
    <w:p>
      <w:pPr>
        <w:pStyle w:val="15"/>
        <w:tabs>
          <w:tab w:val="right" w:leader="dot" w:pos="9072"/>
          <w:tab w:val="clear" w:pos="9062"/>
        </w:tabs>
      </w:pPr>
      <w:r>
        <w:fldChar w:fldCharType="begin"/>
      </w:r>
      <w:r>
        <w:instrText xml:space="preserve"> HYPERLINK \l _Toc24628 </w:instrText>
      </w:r>
      <w:r>
        <w:fldChar w:fldCharType="separate"/>
      </w:r>
      <w:r>
        <w:rPr>
          <w:rFonts w:hint="eastAsia"/>
        </w:rPr>
        <w:t>第五章、报价</w:t>
      </w:r>
      <w:r>
        <w:rPr>
          <w:rFonts w:hint="eastAsia"/>
          <w:lang w:eastAsia="zh-CN"/>
        </w:rPr>
        <w:t>及技术</w:t>
      </w:r>
      <w:r>
        <w:rPr>
          <w:rFonts w:hint="eastAsia"/>
        </w:rPr>
        <w:t>部分</w:t>
      </w:r>
      <w:r>
        <w:tab/>
      </w:r>
      <w:r>
        <w:fldChar w:fldCharType="begin"/>
      </w:r>
      <w:r>
        <w:instrText xml:space="preserve"> PAGEREF _Toc24628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_Toc5621 </w:instrText>
      </w:r>
      <w:r>
        <w:fldChar w:fldCharType="separate"/>
      </w:r>
      <w:r>
        <w:rPr>
          <w:rFonts w:hint="eastAsia"/>
        </w:rPr>
        <w:t>一、投标报价说明</w:t>
      </w:r>
      <w:r>
        <w:tab/>
      </w:r>
      <w:r>
        <w:fldChar w:fldCharType="begin"/>
      </w:r>
      <w:r>
        <w:instrText xml:space="preserve"> PAGEREF _Toc5621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_Toc4275 </w:instrText>
      </w:r>
      <w:r>
        <w:fldChar w:fldCharType="separate"/>
      </w:r>
      <w:r>
        <w:rPr>
          <w:rFonts w:hint="eastAsia"/>
        </w:rPr>
        <w:t>二、报价</w:t>
      </w:r>
      <w:r>
        <w:rPr>
          <w:rFonts w:hint="eastAsia"/>
          <w:lang w:eastAsia="zh-CN"/>
        </w:rPr>
        <w:t>及技术</w:t>
      </w:r>
      <w:r>
        <w:rPr>
          <w:rFonts w:hint="eastAsia"/>
        </w:rPr>
        <w:t>部分组成文件</w:t>
      </w:r>
      <w:r>
        <w:tab/>
      </w:r>
      <w:r>
        <w:fldChar w:fldCharType="begin"/>
      </w:r>
      <w:r>
        <w:instrText xml:space="preserve"> PAGEREF _Toc4275 </w:instrText>
      </w:r>
      <w:r>
        <w:fldChar w:fldCharType="separate"/>
      </w:r>
      <w:r>
        <w:t>16</w:t>
      </w:r>
      <w:r>
        <w:fldChar w:fldCharType="end"/>
      </w:r>
      <w:r>
        <w:fldChar w:fldCharType="end"/>
      </w:r>
    </w:p>
    <w:p>
      <w:pPr>
        <w:pStyle w:val="15"/>
        <w:tabs>
          <w:tab w:val="right" w:leader="dot" w:pos="9072"/>
          <w:tab w:val="clear" w:pos="9062"/>
        </w:tabs>
      </w:pPr>
      <w:r>
        <w:fldChar w:fldCharType="begin"/>
      </w:r>
      <w:r>
        <w:instrText xml:space="preserve"> HYPERLINK \l _Toc27584 </w:instrText>
      </w:r>
      <w:r>
        <w:fldChar w:fldCharType="separate"/>
      </w:r>
      <w:r>
        <w:rPr>
          <w:rFonts w:hint="eastAsia"/>
        </w:rPr>
        <w:t>第</w:t>
      </w:r>
      <w:r>
        <w:rPr>
          <w:rFonts w:hint="eastAsia"/>
          <w:lang w:eastAsia="zh-CN"/>
        </w:rPr>
        <w:t>六</w:t>
      </w:r>
      <w:r>
        <w:rPr>
          <w:rFonts w:hint="eastAsia"/>
        </w:rPr>
        <w:t>章、合同主要条款</w:t>
      </w:r>
      <w:r>
        <w:tab/>
      </w:r>
      <w:r>
        <w:fldChar w:fldCharType="begin"/>
      </w:r>
      <w:r>
        <w:instrText xml:space="preserve"> PAGEREF _Toc27584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_Toc25938 </w:instrText>
      </w:r>
      <w:r>
        <w:fldChar w:fldCharType="separate"/>
      </w:r>
      <w:r>
        <w:rPr>
          <w:rFonts w:hint="eastAsia"/>
        </w:rPr>
        <w:t>一、合同主要条款组成部分</w:t>
      </w:r>
      <w:r>
        <w:tab/>
      </w:r>
      <w:r>
        <w:fldChar w:fldCharType="begin"/>
      </w:r>
      <w:r>
        <w:instrText xml:space="preserve"> PAGEREF _Toc25938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_Toc17624 </w:instrText>
      </w:r>
      <w:r>
        <w:fldChar w:fldCharType="separate"/>
      </w:r>
      <w:r>
        <w:rPr>
          <w:rFonts w:hint="eastAsia"/>
        </w:rPr>
        <w:t>二、合同附件</w:t>
      </w:r>
      <w:r>
        <w:tab/>
      </w:r>
      <w:r>
        <w:fldChar w:fldCharType="begin"/>
      </w:r>
      <w:r>
        <w:instrText xml:space="preserve"> PAGEREF _Toc17624 </w:instrText>
      </w:r>
      <w:r>
        <w:fldChar w:fldCharType="separate"/>
      </w:r>
      <w:r>
        <w:t>21</w:t>
      </w:r>
      <w:r>
        <w:fldChar w:fldCharType="end"/>
      </w:r>
      <w:r>
        <w:fldChar w:fldCharType="end"/>
      </w:r>
    </w:p>
    <w:p>
      <w:pPr>
        <w:pStyle w:val="17"/>
        <w:tabs>
          <w:tab w:val="right" w:leader="dot" w:pos="9072"/>
        </w:tabs>
      </w:pP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jc w:val="center"/>
      </w:pPr>
      <w:bookmarkStart w:id="0" w:name="_Toc11145"/>
      <w:bookmarkStart w:id="1" w:name="_Toc4118"/>
      <w:r>
        <w:rPr>
          <w:rFonts w:hint="eastAsia"/>
        </w:rPr>
        <w:t>第一章、投标邀请函</w:t>
      </w:r>
      <w:bookmarkEnd w:id="0"/>
      <w:bookmarkEnd w:id="1"/>
    </w:p>
    <w:p>
      <w:pPr>
        <w:rPr>
          <w:rFonts w:hint="eastAsia"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胥城食品公司炒货礼盒采购项目</w:t>
      </w:r>
    </w:p>
    <w:p>
      <w:pPr>
        <w:rPr>
          <w:rFonts w:hint="eastAsia" w:ascii="华文细黑" w:hAnsi="华文细黑" w:eastAsia="华文细黑"/>
          <w:lang w:eastAsia="zh-CN"/>
        </w:rPr>
      </w:pPr>
      <w:r>
        <w:rPr>
          <w:rFonts w:hint="eastAsia" w:ascii="华文细黑" w:hAnsi="华文细黑" w:eastAsia="华文细黑"/>
        </w:rPr>
        <w:t>2、招标编号：</w:t>
      </w:r>
      <w:r>
        <w:rPr>
          <w:rFonts w:hint="eastAsia" w:ascii="华文细黑" w:hAnsi="华文细黑" w:eastAsia="华文细黑"/>
          <w:lang w:eastAsia="zh-CN"/>
        </w:rPr>
        <w:t>SXCG201812-C-077</w:t>
      </w:r>
    </w:p>
    <w:p>
      <w:pPr>
        <w:rPr>
          <w:rFonts w:hint="eastAsia" w:ascii="华文细黑" w:hAnsi="华文细黑" w:eastAsia="华文细黑"/>
          <w:lang w:eastAsia="zh-CN"/>
        </w:rPr>
      </w:pPr>
      <w:r>
        <w:rPr>
          <w:rFonts w:hint="eastAsia" w:ascii="华文细黑" w:hAnsi="华文细黑" w:eastAsia="华文细黑"/>
        </w:rPr>
        <w:t>3、采购内容：</w:t>
      </w:r>
      <w:r>
        <w:rPr>
          <w:rFonts w:hint="eastAsia" w:ascii="华文细黑" w:hAnsi="华文细黑" w:eastAsia="华文细黑"/>
          <w:lang w:eastAsia="zh-CN"/>
        </w:rPr>
        <w:t>详见投标报价须知附表</w:t>
      </w:r>
    </w:p>
    <w:p>
      <w:pPr>
        <w:rPr>
          <w:rFonts w:ascii="华文细黑" w:hAnsi="华文细黑" w:eastAsia="华文细黑"/>
        </w:rPr>
      </w:pPr>
      <w:r>
        <w:rPr>
          <w:rFonts w:hint="eastAsia" w:ascii="华文细黑" w:hAnsi="华文细黑" w:eastAsia="华文细黑"/>
        </w:rPr>
        <w:t>二、投标人资质要求：</w:t>
      </w:r>
    </w:p>
    <w:p>
      <w:pPr>
        <w:rPr>
          <w:rFonts w:hint="eastAsia" w:ascii="华文细黑" w:hAnsi="华文细黑" w:eastAsia="华文细黑"/>
        </w:rPr>
      </w:pPr>
      <w:r>
        <w:rPr>
          <w:rFonts w:hint="eastAsia" w:ascii="华文细黑" w:hAnsi="华文细黑" w:eastAsia="华文细黑"/>
          <w:lang w:val="en-US" w:eastAsia="zh-CN"/>
        </w:rPr>
        <w:t>1</w:t>
      </w:r>
      <w:r>
        <w:rPr>
          <w:rFonts w:hint="eastAsia" w:ascii="华文细黑" w:hAnsi="华文细黑" w:eastAsia="华文细黑"/>
        </w:rPr>
        <w:t xml:space="preserve">、具有良好的商业信誉； </w:t>
      </w:r>
    </w:p>
    <w:p>
      <w:pPr>
        <w:rPr>
          <w:rFonts w:hint="eastAsia" w:ascii="华文细黑" w:hAnsi="华文细黑" w:eastAsia="华文细黑"/>
        </w:rPr>
      </w:pPr>
      <w:r>
        <w:rPr>
          <w:rFonts w:hint="eastAsia" w:asciiTheme="minorEastAsia" w:hAnsiTheme="minorEastAsia" w:eastAsiaTheme="minorEastAsia" w:cstheme="minorEastAsia"/>
          <w:sz w:val="24"/>
          <w:szCs w:val="24"/>
          <w:lang w:val="en-US" w:eastAsia="zh-CN"/>
        </w:rPr>
        <w:t>2、</w:t>
      </w:r>
      <w:r>
        <w:rPr>
          <w:rFonts w:hint="eastAsia" w:ascii="华文细黑" w:hAnsi="华文细黑" w:eastAsia="华文细黑"/>
        </w:rPr>
        <w:t>经营范围中需包含食品销售，或食品流通、加工等相关资质</w:t>
      </w:r>
      <w:r>
        <w:rPr>
          <w:rFonts w:hint="eastAsia" w:ascii="华文细黑" w:hAnsi="华文细黑" w:eastAsia="华文细黑"/>
          <w:lang w:eastAsia="zh-CN"/>
        </w:rPr>
        <w:t>。</w:t>
      </w:r>
    </w:p>
    <w:p>
      <w:pPr>
        <w:rPr>
          <w:rFonts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 xml:space="preserve">、具有履行合同所必需的设备和专业技术能力； </w:t>
      </w:r>
    </w:p>
    <w:p>
      <w:pPr>
        <w:rPr>
          <w:rFonts w:ascii="华文细黑" w:hAnsi="华文细黑" w:eastAsia="华文细黑"/>
        </w:rPr>
      </w:pPr>
      <w:r>
        <w:rPr>
          <w:rFonts w:hint="eastAsia" w:ascii="华文细黑" w:hAnsi="华文细黑" w:eastAsia="华文细黑"/>
          <w:lang w:val="en-US" w:eastAsia="zh-CN"/>
        </w:rPr>
        <w:t>4</w:t>
      </w:r>
      <w:r>
        <w:rPr>
          <w:rFonts w:hint="eastAsia" w:ascii="华文细黑" w:hAnsi="华文细黑" w:eastAsia="华文细黑"/>
        </w:rPr>
        <w:t xml:space="preserve">、三年内经营活动中没有重大违法记录； </w:t>
      </w:r>
    </w:p>
    <w:p>
      <w:pPr>
        <w:rPr>
          <w:rFonts w:ascii="华文细黑" w:hAnsi="华文细黑" w:eastAsia="华文细黑"/>
        </w:rPr>
      </w:pPr>
      <w:r>
        <w:rPr>
          <w:rFonts w:hint="eastAsia" w:ascii="华文细黑" w:hAnsi="华文细黑" w:eastAsia="华文细黑"/>
          <w:lang w:val="en-US" w:eastAsia="zh-CN"/>
        </w:rPr>
        <w:t>5</w:t>
      </w:r>
      <w:r>
        <w:rPr>
          <w:rFonts w:hint="eastAsia" w:ascii="华文细黑" w:hAnsi="华文细黑" w:eastAsia="华文细黑"/>
        </w:rPr>
        <w:t>、法律、行政法规规定的其他条件；</w:t>
      </w:r>
    </w:p>
    <w:p>
      <w:pPr>
        <w:rPr>
          <w:rFonts w:ascii="华文细黑" w:hAnsi="华文细黑" w:eastAsia="华文细黑"/>
        </w:rPr>
      </w:pPr>
      <w:r>
        <w:rPr>
          <w:rFonts w:hint="eastAsia" w:ascii="华文细黑" w:hAnsi="华文细黑" w:eastAsia="华文细黑"/>
          <w:lang w:val="en-US" w:eastAsia="zh-CN"/>
        </w:rPr>
        <w:t>6</w:t>
      </w:r>
      <w:r>
        <w:rPr>
          <w:rFonts w:hint="eastAsia" w:ascii="华文细黑" w:hAnsi="华文细黑" w:eastAsia="华文细黑"/>
        </w:rPr>
        <w:t>、本次招标不接受联合体投标。</w:t>
      </w:r>
    </w:p>
    <w:p>
      <w:pPr>
        <w:rPr>
          <w:rFonts w:ascii="华文细黑" w:hAnsi="华文细黑" w:eastAsia="华文细黑"/>
        </w:rPr>
      </w:pPr>
      <w:r>
        <w:rPr>
          <w:rFonts w:hint="eastAsia" w:ascii="华文细黑" w:hAnsi="华文细黑" w:eastAsia="华文细黑"/>
        </w:rPr>
        <w:t>三、其他：</w:t>
      </w:r>
    </w:p>
    <w:p>
      <w:pPr>
        <w:tabs>
          <w:tab w:val="left" w:pos="3600"/>
        </w:tabs>
        <w:autoSpaceDE w:val="0"/>
        <w:autoSpaceDN w:val="0"/>
        <w:adjustRightInd w:val="0"/>
        <w:spacing w:line="360" w:lineRule="auto"/>
        <w:rPr>
          <w:rFonts w:hint="eastAsia" w:ascii="华文细黑" w:hAnsi="华文细黑" w:eastAsia="华文细黑"/>
          <w:lang w:eastAsia="zh-CN"/>
        </w:rPr>
      </w:pPr>
      <w:r>
        <w:rPr>
          <w:rFonts w:hint="eastAsia" w:ascii="华文细黑" w:hAnsi="华文细黑" w:eastAsia="华文细黑"/>
        </w:rPr>
        <w:t>1、本项目采用邀请招标形式</w:t>
      </w:r>
    </w:p>
    <w:p>
      <w:pPr>
        <w:rPr>
          <w:rFonts w:ascii="华文细黑" w:hAnsi="华文细黑" w:eastAsia="华文细黑"/>
        </w:rPr>
      </w:pPr>
      <w:r>
        <w:rPr>
          <w:rFonts w:hint="eastAsia" w:ascii="华文细黑" w:hAnsi="华文细黑" w:eastAsia="华文细黑"/>
        </w:rPr>
        <w:t>2、采用综合评估法，</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年12月</w:t>
      </w:r>
      <w:r>
        <w:rPr>
          <w:rFonts w:hint="eastAsia" w:ascii="华文细黑" w:hAnsi="华文细黑" w:eastAsia="华文细黑"/>
          <w:lang w:val="en-US" w:eastAsia="zh-CN"/>
        </w:rPr>
        <w:t xml:space="preserve"> 05</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numPr>
          <w:ilvl w:val="0"/>
          <w:numId w:val="1"/>
        </w:numPr>
      </w:pPr>
      <w:bookmarkStart w:id="3" w:name="_Toc23750"/>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胥城食品公司炒货礼盒采购项目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auto"/>
                <w:szCs w:val="21"/>
              </w:rPr>
            </w:pPr>
            <w:r>
              <w:rPr>
                <w:rFonts w:hint="eastAsia" w:ascii="华文细黑" w:hAnsi="华文细黑" w:eastAsia="华文细黑"/>
                <w:color w:val="auto"/>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auto"/>
                <w:szCs w:val="21"/>
                <w:lang w:eastAsia="zh-CN"/>
              </w:rPr>
            </w:pPr>
            <w:r>
              <w:rPr>
                <w:rFonts w:hint="eastAsia" w:ascii="华文细黑" w:hAnsi="华文细黑" w:eastAsia="华文细黑"/>
                <w:color w:val="auto"/>
                <w:szCs w:val="21"/>
                <w:lang w:eastAsia="zh-CN"/>
              </w:rPr>
              <w:t>综合单价</w:t>
            </w:r>
            <w:r>
              <w:rPr>
                <w:rFonts w:hint="eastAsia" w:ascii="华文细黑" w:hAnsi="华文细黑" w:eastAsia="华文细黑"/>
                <w:color w:val="auto"/>
                <w:szCs w:val="21"/>
              </w:rPr>
              <w:t>含</w:t>
            </w:r>
            <w:r>
              <w:rPr>
                <w:rFonts w:hint="eastAsia" w:ascii="华文细黑" w:hAnsi="华文细黑" w:eastAsia="华文细黑"/>
                <w:color w:val="auto"/>
                <w:szCs w:val="21"/>
                <w:lang w:eastAsia="zh-CN"/>
              </w:rPr>
              <w:t>装卸费、包装费、人工服务、运费、税费</w:t>
            </w:r>
            <w:r>
              <w:rPr>
                <w:rFonts w:hint="eastAsia" w:ascii="华文细黑" w:hAnsi="华文细黑" w:eastAsia="华文细黑"/>
                <w:color w:val="auto"/>
                <w:szCs w:val="21"/>
              </w:rPr>
              <w:t>等所有费用；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auto"/>
                <w:szCs w:val="21"/>
                <w:highlight w:val="yellow"/>
                <w:lang w:val="en-US" w:eastAsia="zh-CN"/>
              </w:rPr>
            </w:pPr>
            <w:r>
              <w:rPr>
                <w:rFonts w:hint="eastAsia" w:ascii="华文细黑" w:hAnsi="华文细黑" w:eastAsia="华文细黑"/>
                <w:color w:val="auto"/>
                <w:szCs w:val="21"/>
                <w:highlight w:val="yellow"/>
                <w:lang w:val="en-US" w:eastAsia="zh-CN"/>
              </w:rPr>
              <w:t>项目内容</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color w:val="auto"/>
                <w:szCs w:val="21"/>
                <w:highlight w:val="yellow"/>
                <w:lang w:val="en-US" w:eastAsia="zh-CN"/>
              </w:rPr>
            </w:pPr>
            <w:r>
              <w:rPr>
                <w:rFonts w:hint="eastAsia" w:ascii="华文细黑" w:hAnsi="华文细黑" w:eastAsia="华文细黑"/>
                <w:color w:val="auto"/>
                <w:szCs w:val="21"/>
                <w:highlight w:val="yellow"/>
                <w:lang w:val="en-US" w:eastAsia="zh-CN"/>
              </w:rPr>
              <w:t>每盒10个品种，</w:t>
            </w:r>
          </w:p>
          <w:p>
            <w:pPr>
              <w:numPr>
                <w:ilvl w:val="0"/>
                <w:numId w:val="2"/>
              </w:numPr>
              <w:spacing w:line="400" w:lineRule="atLeast"/>
              <w:rPr>
                <w:rFonts w:hint="eastAsia" w:ascii="华文细黑" w:hAnsi="华文细黑" w:eastAsia="华文细黑"/>
                <w:color w:val="auto"/>
                <w:szCs w:val="21"/>
                <w:highlight w:val="yellow"/>
                <w:lang w:val="en-US" w:eastAsia="zh-CN"/>
              </w:rPr>
            </w:pPr>
            <w:r>
              <w:rPr>
                <w:rFonts w:hint="eastAsia" w:ascii="华文细黑" w:hAnsi="华文细黑" w:eastAsia="华文细黑"/>
                <w:color w:val="auto"/>
                <w:szCs w:val="21"/>
                <w:highlight w:val="yellow"/>
                <w:lang w:val="en-US" w:eastAsia="zh-CN"/>
              </w:rPr>
              <w:t>数量预计8000盒，以实际交货为准</w:t>
            </w:r>
          </w:p>
          <w:p>
            <w:pPr>
              <w:numPr>
                <w:ilvl w:val="0"/>
                <w:numId w:val="2"/>
              </w:numPr>
              <w:spacing w:line="400" w:lineRule="atLeast"/>
              <w:rPr>
                <w:rFonts w:hint="eastAsia" w:ascii="华文细黑" w:hAnsi="华文细黑" w:eastAsia="华文细黑"/>
                <w:color w:val="auto"/>
                <w:szCs w:val="21"/>
                <w:highlight w:val="yellow"/>
                <w:lang w:val="en-US" w:eastAsia="zh-CN"/>
              </w:rPr>
            </w:pPr>
            <w:r>
              <w:rPr>
                <w:rFonts w:hint="eastAsia" w:ascii="华文细黑" w:hAnsi="华文细黑" w:eastAsia="华文细黑"/>
                <w:color w:val="auto"/>
                <w:szCs w:val="21"/>
                <w:highlight w:val="yellow"/>
                <w:lang w:val="en-US" w:eastAsia="zh-CN"/>
              </w:rPr>
              <w:t>礼盒装，双LOGO(胥城食品、书香集团）以及能体现书香文化的元素。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hint="eastAsia" w:ascii="华文细黑" w:hAnsi="华文细黑" w:eastAsia="华文细黑"/>
                <w:szCs w:val="21"/>
                <w:lang w:eastAsia="zh-CN"/>
              </w:rPr>
            </w:pPr>
            <w:r>
              <w:rPr>
                <w:rFonts w:hint="eastAsia" w:ascii="华文细黑" w:hAnsi="华文细黑" w:eastAsia="华文细黑"/>
                <w:szCs w:val="21"/>
              </w:rPr>
              <w:t>独立法人资格，信誉良好</w:t>
            </w:r>
          </w:p>
          <w:p>
            <w:pPr>
              <w:numPr>
                <w:ilvl w:val="0"/>
                <w:numId w:val="3"/>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有食品安全质量保证，经营范围中需包含食品销售，或食品流通、加工等相关资质。</w:t>
            </w:r>
          </w:p>
          <w:p>
            <w:pPr>
              <w:numPr>
                <w:ilvl w:val="0"/>
                <w:numId w:val="3"/>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上述邀标函资质要求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，装订成册（胶装：黄色皮纹卡纸），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11</w:t>
            </w:r>
            <w:r>
              <w:rPr>
                <w:rFonts w:hint="eastAsia" w:ascii="华文细黑" w:hAnsi="华文细黑" w:eastAsia="华文细黑"/>
                <w:b/>
                <w:bCs/>
                <w:color w:val="FF0000"/>
                <w:szCs w:val="21"/>
                <w:highlight w:val="yellow"/>
              </w:rPr>
              <w:t>日上午11：00之前</w:t>
            </w:r>
          </w:p>
          <w:p>
            <w:pPr>
              <w:spacing w:line="400" w:lineRule="atLeast"/>
              <w:rPr>
                <w:rFonts w:hint="eastAsia" w:ascii="华文细黑" w:hAnsi="华文细黑" w:eastAsia="华文细黑"/>
                <w:szCs w:val="21"/>
              </w:rPr>
            </w:pPr>
            <w:r>
              <w:rPr>
                <w:rFonts w:hint="eastAsia" w:ascii="华文细黑" w:hAnsi="华文细黑" w:eastAsia="华文细黑"/>
                <w:szCs w:val="21"/>
              </w:rPr>
              <w:t>地点：苏州市三香路333号书香酒店管理集团</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rPr>
              <w:t>联系人：</w:t>
            </w:r>
            <w:r>
              <w:rPr>
                <w:rFonts w:hint="eastAsia" w:ascii="华文细黑" w:hAnsi="华文细黑" w:eastAsia="华文细黑"/>
                <w:szCs w:val="21"/>
                <w:lang w:eastAsia="zh-CN"/>
              </w:rPr>
              <w:t>钱恩妮</w:t>
            </w:r>
            <w:r>
              <w:rPr>
                <w:rFonts w:hint="eastAsia" w:ascii="华文细黑" w:hAnsi="华文细黑" w:eastAsia="华文细黑"/>
                <w:szCs w:val="21"/>
              </w:rPr>
              <w:t xml:space="preserve">  联系电话：</w:t>
            </w:r>
            <w:r>
              <w:rPr>
                <w:rFonts w:hint="eastAsia" w:ascii="华文细黑" w:hAnsi="华文细黑" w:eastAsia="华文细黑"/>
                <w:szCs w:val="21"/>
                <w:lang w:val="en-US" w:eastAsia="zh-CN"/>
              </w:rPr>
              <w:t>13915556818</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rPr>
              <w:t>本项目采用固定单价的报价方式</w:t>
            </w:r>
            <w:r>
              <w:rPr>
                <w:rFonts w:hint="eastAsia" w:ascii="华文细黑" w:hAnsi="华文细黑" w:eastAsia="华文细黑"/>
                <w:szCs w:val="21"/>
                <w:highlight w:val="yellow"/>
                <w:lang w:eastAsia="zh-CN"/>
              </w:rPr>
              <w:t>，</w:t>
            </w:r>
          </w:p>
          <w:p>
            <w:pPr>
              <w:numPr>
                <w:ilvl w:val="0"/>
                <w:numId w:val="4"/>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lang w:eastAsia="zh-CN"/>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知识产权</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rPr>
            </w:pPr>
            <w:r>
              <w:rPr>
                <w:rFonts w:hint="eastAsia" w:ascii="华文细黑" w:hAnsi="华文细黑" w:eastAsia="华文细黑"/>
                <w:szCs w:val="21"/>
              </w:rPr>
              <w:t>成交方应保证需方免除且成交方承担由于需方在其本国使用该项目所需的产品和设计或其任何一部分时而引起第三方提出的侵犯专利权、商标权或工业设计权的起诉、行动、行政程序索赔、请求等以及需方为此而产生的损失和损害、费用和支出（包括但不限于律师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ascii="华文细黑" w:hAnsi="华文细黑" w:eastAsia="华文细黑"/>
                <w:color w:val="000000"/>
                <w:szCs w:val="21"/>
                <w:highlight w:val="none"/>
              </w:rPr>
            </w:pPr>
            <w:r>
              <w:rPr>
                <w:rFonts w:hint="eastAsia" w:ascii="华文细黑" w:hAnsi="华文细黑" w:eastAsia="华文细黑"/>
                <w:color w:val="000000"/>
                <w:szCs w:val="21"/>
                <w:highlight w:val="none"/>
              </w:rPr>
              <w:t>技术及质量要求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highlight w:val="none"/>
              </w:rPr>
            </w:pPr>
            <w:r>
              <w:rPr>
                <w:rFonts w:hint="eastAsia" w:ascii="华文细黑" w:hAnsi="华文细黑" w:eastAsia="华文细黑"/>
                <w:szCs w:val="21"/>
                <w:lang w:eastAsia="zh-CN"/>
              </w:rPr>
              <w:t>有食品安全质量保证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上述所需的物品及损耗、辅助材料、人工、机械、运输、仓储、安装、检测、各种税费等一切费用。</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首付合同款30%，自合同签订10个工作日内付出；出货前付款 30%, 尾款 40%交货后30天内支付。每次付款前，需中标公司提供增值税专用发票。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hint="eastAsia" w:ascii="华文细黑" w:hAnsi="华文细黑" w:eastAsia="华文细黑"/>
                <w:b/>
                <w:bCs/>
                <w:color w:val="000000" w:themeColor="text1"/>
                <w:szCs w:val="21"/>
                <w:lang w:val="en-US" w:eastAsia="zh-CN"/>
              </w:rPr>
            </w:pPr>
            <w:r>
              <w:rPr>
                <w:rFonts w:hint="eastAsia" w:ascii="华文细黑" w:hAnsi="华文细黑" w:eastAsia="华文细黑"/>
                <w:b/>
                <w:bCs/>
                <w:color w:val="000000" w:themeColor="text1"/>
                <w:szCs w:val="21"/>
                <w:lang w:val="en-US" w:eastAsia="zh-CN"/>
              </w:rPr>
              <w:t>1、合同签订后，需要在本月开具增值税专用发票</w:t>
            </w:r>
          </w:p>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lang w:val="en-US" w:eastAsia="zh-CN"/>
              </w:rPr>
              <w:t>2.、</w:t>
            </w: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w:t>
            </w:r>
            <w:r>
              <w:rPr>
                <w:rFonts w:hint="eastAsia" w:ascii="华文细黑" w:hAnsi="华文细黑" w:eastAsia="华文细黑"/>
                <w:szCs w:val="21"/>
                <w:lang w:eastAsia="zh-CN"/>
              </w:rPr>
              <w:t>项目</w:t>
            </w:r>
            <w:r>
              <w:rPr>
                <w:rFonts w:hint="eastAsia" w:ascii="华文细黑" w:hAnsi="华文细黑" w:eastAsia="华文细黑"/>
                <w:szCs w:val="21"/>
              </w:rPr>
              <w:t>，更不得分包主体</w:t>
            </w:r>
            <w:r>
              <w:rPr>
                <w:rFonts w:hint="eastAsia" w:ascii="华文细黑" w:hAnsi="华文细黑" w:eastAsia="华文细黑"/>
                <w:szCs w:val="21"/>
                <w:lang w:eastAsia="zh-CN"/>
              </w:rPr>
              <w:t>项目</w:t>
            </w:r>
            <w:r>
              <w:rPr>
                <w:rFonts w:hint="eastAsia" w:ascii="华文细黑" w:hAnsi="华文细黑" w:eastAsia="华文细黑"/>
                <w:szCs w:val="21"/>
              </w:rPr>
              <w:t>，如一经查实，发包人有权中止合同，因此带来的一切经济损失由承包人承担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lang w:eastAsia="zh-CN"/>
              </w:rPr>
              <w:t>2018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分别装订成册</w:t>
      </w:r>
      <w:r>
        <w:rPr>
          <w:rFonts w:hint="eastAsia" w:ascii="华文细黑" w:hAnsi="华文细黑" w:eastAsia="华文细黑"/>
          <w:szCs w:val="21"/>
          <w:lang w:eastAsia="zh-CN"/>
        </w:rPr>
        <w:t>（胶装：黄色皮纹卡纸）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hint="eastAsia" w:ascii="华文细黑" w:hAnsi="华文细黑" w:eastAsia="华文细黑"/>
          <w:szCs w:val="21"/>
        </w:rPr>
      </w:pPr>
      <w:r>
        <w:rPr>
          <w:rFonts w:hint="eastAsia" w:ascii="华文细黑" w:hAnsi="华文细黑" w:eastAsia="华文细黑"/>
          <w:szCs w:val="21"/>
          <w:lang w:eastAsia="zh-CN"/>
        </w:rPr>
        <w:t>④</w:t>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华文细黑" w:hAnsi="华文细黑" w:eastAsia="华文细黑"/>
          <w:szCs w:val="21"/>
        </w:rPr>
      </w:pPr>
      <w:r>
        <w:rPr>
          <w:rFonts w:hint="eastAsia" w:ascii="华文细黑" w:hAnsi="华文细黑" w:eastAsia="华文细黑"/>
          <w:szCs w:val="21"/>
        </w:rPr>
        <w:br w:type="page"/>
      </w:r>
    </w:p>
    <w:p>
      <w:pPr>
        <w:pStyle w:val="18"/>
        <w:jc w:val="center"/>
      </w:pPr>
      <w:bookmarkStart w:id="4" w:name="_Toc3821"/>
      <w:bookmarkStart w:id="5" w:name="_Toc6627"/>
      <w:r>
        <w:rPr>
          <w:rFonts w:hint="eastAsia"/>
        </w:rPr>
        <w:t>第三章、投标文件封面及分页格式</w:t>
      </w:r>
      <w:bookmarkEnd w:id="4"/>
      <w:bookmarkEnd w:id="5"/>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w:t>
      </w:r>
      <w:r>
        <w:rPr>
          <w:rFonts w:hint="eastAsia" w:ascii="宋体" w:hAnsi="宋体"/>
          <w:b/>
          <w:color w:val="000000"/>
          <w:sz w:val="44"/>
          <w:szCs w:val="44"/>
          <w:lang w:eastAsia="zh-CN"/>
        </w:rPr>
        <w:t>及技术</w:t>
      </w:r>
      <w:r>
        <w:rPr>
          <w:rFonts w:hint="eastAsia" w:ascii="宋体" w:hAnsi="宋体"/>
          <w:b/>
          <w:color w:val="000000"/>
          <w:sz w:val="44"/>
          <w:szCs w:val="44"/>
        </w:rPr>
        <w:t>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32653"/>
      <w:bookmarkStart w:id="7" w:name="_Toc21630"/>
      <w:r>
        <w:rPr>
          <w:rFonts w:hint="eastAsia"/>
        </w:rPr>
        <w:t>第四章、商务部分</w:t>
      </w:r>
      <w:bookmarkEnd w:id="6"/>
      <w:bookmarkEnd w:id="7"/>
    </w:p>
    <w:p>
      <w:pPr>
        <w:pStyle w:val="33"/>
        <w:outlineLvl w:val="1"/>
        <w:rPr>
          <w:b/>
        </w:rPr>
      </w:pPr>
      <w:bookmarkStart w:id="8" w:name="_Toc20063"/>
      <w:bookmarkStart w:id="9" w:name="_Toc31870"/>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质量管理体系认证证书</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7685"/>
      <w:bookmarkStart w:id="11" w:name="_Toc25017"/>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w:t>
      </w:r>
      <w:r>
        <w:rPr>
          <w:rFonts w:hint="eastAsia" w:ascii="华文细黑" w:hAnsi="华文细黑" w:eastAsia="华文细黑"/>
          <w:szCs w:val="21"/>
          <w:lang w:val="en-US" w:eastAsia="zh-CN"/>
        </w:rPr>
        <w:t>1</w:t>
      </w:r>
      <w:r>
        <w:rPr>
          <w:rFonts w:hint="eastAsia" w:ascii="华文细黑" w:hAnsi="华文细黑" w:eastAsia="华文细黑"/>
          <w:szCs w:val="21"/>
        </w:rPr>
        <w:t>、投标承诺书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w:t>
      </w:r>
      <w:r>
        <w:rPr>
          <w:rFonts w:hint="eastAsia" w:ascii="华文细黑" w:hAnsi="华文细黑" w:eastAsia="华文细黑"/>
          <w:szCs w:val="21"/>
          <w:lang w:val="en-US" w:eastAsia="zh-CN"/>
        </w:rPr>
        <w:t>2</w:t>
      </w:r>
      <w:r>
        <w:rPr>
          <w:rFonts w:hint="eastAsia" w:ascii="华文细黑" w:hAnsi="华文细黑" w:eastAsia="华文细黑"/>
          <w:szCs w:val="21"/>
        </w:rPr>
        <w:t>、投标文件签署授权委托书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w:t>
      </w:r>
      <w:r>
        <w:rPr>
          <w:rFonts w:hint="eastAsia" w:ascii="华文细黑" w:hAnsi="华文细黑" w:eastAsia="华文细黑"/>
          <w:sz w:val="28"/>
          <w:szCs w:val="28"/>
          <w:lang w:val="en-US" w:eastAsia="zh-CN"/>
        </w:rPr>
        <w:t>1</w:t>
      </w:r>
      <w:r>
        <w:rPr>
          <w:rFonts w:hint="eastAsia" w:ascii="华文细黑" w:hAnsi="华文细黑" w:eastAsia="华文细黑"/>
          <w:sz w:val="28"/>
          <w:szCs w:val="28"/>
        </w:rPr>
        <w:t>、</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hint="eastAsia" w:ascii="华文细黑" w:hAnsi="华文细黑" w:eastAsia="华文细黑"/>
          <w:szCs w:val="21"/>
          <w:u w:val="single"/>
          <w:lang w:eastAsia="zh-CN"/>
        </w:rPr>
      </w:pPr>
      <w:r>
        <w:rPr>
          <w:rFonts w:hint="eastAsia" w:ascii="华文细黑" w:hAnsi="华文细黑" w:eastAsia="华文细黑"/>
          <w:szCs w:val="21"/>
        </w:rPr>
        <w:t>致：</w:t>
      </w:r>
      <w:r>
        <w:rPr>
          <w:rFonts w:hint="eastAsia" w:ascii="华文细黑" w:hAnsi="华文细黑" w:eastAsia="华文细黑"/>
          <w:szCs w:val="21"/>
          <w:u w:val="single"/>
          <w:lang w:eastAsia="zh-CN"/>
        </w:rPr>
        <w:t>苏州胥城食品有限公司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胥城食品公司炒货礼盒采购项目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w:t>
      </w:r>
      <w:r>
        <w:rPr>
          <w:rFonts w:hint="eastAsia" w:ascii="华文细黑" w:hAnsi="华文细黑" w:eastAsia="华文细黑"/>
          <w:sz w:val="28"/>
          <w:szCs w:val="28"/>
          <w:lang w:val="en-US" w:eastAsia="zh-CN"/>
        </w:rPr>
        <w:t>2</w:t>
      </w:r>
      <w:r>
        <w:rPr>
          <w:rFonts w:hint="eastAsia" w:ascii="华文细黑" w:hAnsi="华文细黑" w:eastAsia="华文细黑"/>
          <w:sz w:val="28"/>
          <w:szCs w:val="28"/>
        </w:rPr>
        <w:t>、</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lang w:eastAsia="zh-CN"/>
        </w:rPr>
        <w:t>胥城食品公司炒货礼盒采购项目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8"/>
      </w:pPr>
      <w:bookmarkStart w:id="12" w:name="_Toc24628"/>
      <w:bookmarkStart w:id="13" w:name="_Toc11333"/>
      <w:r>
        <w:rPr>
          <w:rFonts w:hint="eastAsia"/>
        </w:rPr>
        <w:t>第五章、报价部分</w:t>
      </w:r>
      <w:bookmarkEnd w:id="12"/>
      <w:bookmarkEnd w:id="13"/>
    </w:p>
    <w:p>
      <w:pPr>
        <w:spacing w:line="360" w:lineRule="auto"/>
        <w:jc w:val="center"/>
        <w:rPr>
          <w:rFonts w:ascii="华文细黑" w:hAnsi="华文细黑" w:eastAsia="华文细黑"/>
          <w:b/>
          <w:bCs/>
          <w:sz w:val="28"/>
          <w:szCs w:val="28"/>
        </w:rPr>
      </w:pPr>
    </w:p>
    <w:p>
      <w:pPr>
        <w:pStyle w:val="33"/>
        <w:outlineLvl w:val="1"/>
        <w:rPr>
          <w:b/>
        </w:rPr>
      </w:pPr>
      <w:bookmarkStart w:id="14" w:name="_Toc5621"/>
      <w:bookmarkStart w:id="15" w:name="_Toc26651"/>
      <w:r>
        <w:rPr>
          <w:rFonts w:hint="eastAsia"/>
          <w:b/>
        </w:rPr>
        <w:t>一、投标报价说明</w:t>
      </w:r>
      <w:bookmarkEnd w:id="14"/>
      <w:bookmarkEnd w:id="15"/>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w:t>
      </w:r>
      <w:r>
        <w:rPr>
          <w:rFonts w:hint="eastAsia" w:ascii="华文细黑" w:hAnsi="华文细黑" w:eastAsia="华文细黑"/>
          <w:szCs w:val="21"/>
          <w:lang w:eastAsia="zh-CN"/>
        </w:rPr>
        <w:t>项目</w:t>
      </w:r>
      <w:r>
        <w:rPr>
          <w:rFonts w:hint="eastAsia" w:ascii="华文细黑" w:hAnsi="华文细黑" w:eastAsia="华文细黑"/>
          <w:szCs w:val="21"/>
        </w:rPr>
        <w:t>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6" w:name="_Toc4275"/>
      <w:bookmarkStart w:id="17" w:name="_Toc925"/>
      <w:r>
        <w:rPr>
          <w:rFonts w:hint="eastAsia"/>
          <w:b/>
        </w:rPr>
        <w:t>二、报价</w:t>
      </w:r>
      <w:r>
        <w:rPr>
          <w:rFonts w:hint="eastAsia"/>
          <w:b/>
          <w:lang w:eastAsia="zh-CN"/>
        </w:rPr>
        <w:t>及技术</w:t>
      </w:r>
      <w:r>
        <w:rPr>
          <w:rFonts w:hint="eastAsia"/>
          <w:b/>
        </w:rPr>
        <w:t>部分组成文件</w:t>
      </w:r>
      <w:bookmarkEnd w:id="16"/>
      <w:bookmarkEnd w:id="17"/>
    </w:p>
    <w:p>
      <w:pPr>
        <w:numPr>
          <w:ilvl w:val="255"/>
          <w:numId w:val="0"/>
        </w:numPr>
        <w:spacing w:line="360" w:lineRule="auto"/>
        <w:rPr>
          <w:rFonts w:ascii="华文细黑" w:hAnsi="华文细黑" w:eastAsia="华文细黑"/>
          <w:szCs w:val="21"/>
          <w:highlight w:val="none"/>
        </w:rPr>
      </w:pPr>
      <w:r>
        <w:rPr>
          <w:rFonts w:hint="eastAsia" w:ascii="华文细黑" w:hAnsi="华文细黑" w:eastAsia="华文细黑"/>
          <w:szCs w:val="21"/>
          <w:highlight w:val="none"/>
        </w:rPr>
        <w:t>1、</w:t>
      </w:r>
      <w:r>
        <w:rPr>
          <w:rFonts w:ascii="华文细黑" w:hAnsi="华文细黑" w:eastAsia="华文细黑"/>
          <w:szCs w:val="21"/>
          <w:highlight w:val="none"/>
        </w:rPr>
        <w:t>报价封面</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2、编制的</w:t>
      </w:r>
      <w:r>
        <w:rPr>
          <w:rFonts w:hint="eastAsia" w:ascii="华文细黑" w:hAnsi="华文细黑" w:eastAsia="华文细黑"/>
          <w:szCs w:val="21"/>
          <w:highlight w:val="none"/>
          <w:lang w:eastAsia="zh-CN"/>
        </w:rPr>
        <w:t>报价清单：应</w:t>
      </w:r>
      <w:r>
        <w:rPr>
          <w:rFonts w:hint="eastAsia" w:ascii="华文细黑" w:hAnsi="华文细黑" w:eastAsia="华文细黑"/>
          <w:szCs w:val="21"/>
          <w:highlight w:val="none"/>
          <w:lang w:val="en-US" w:eastAsia="zh-CN"/>
        </w:rPr>
        <w:t>包含单价、税金、合计金额、产地等信息</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lang w:eastAsia="zh-CN"/>
        </w:rPr>
      </w:pPr>
      <w:r>
        <w:rPr>
          <w:rFonts w:hint="eastAsia" w:ascii="华文细黑" w:hAnsi="华文细黑" w:eastAsia="华文细黑"/>
          <w:szCs w:val="21"/>
          <w:highlight w:val="none"/>
          <w:lang w:val="en-US" w:eastAsia="zh-CN"/>
        </w:rPr>
        <w:br w:type="page"/>
      </w:r>
    </w:p>
    <w:p>
      <w:pPr>
        <w:pStyle w:val="18"/>
      </w:pPr>
      <w:bookmarkStart w:id="18" w:name="_Toc8125"/>
      <w:bookmarkStart w:id="19" w:name="_Toc27584"/>
      <w:r>
        <w:rPr>
          <w:rFonts w:hint="eastAsia"/>
        </w:rPr>
        <w:t>第</w:t>
      </w:r>
      <w:r>
        <w:rPr>
          <w:rFonts w:hint="eastAsia"/>
          <w:lang w:eastAsia="zh-CN"/>
        </w:rPr>
        <w:t>六</w:t>
      </w:r>
      <w:r>
        <w:rPr>
          <w:rFonts w:hint="eastAsia"/>
        </w:rPr>
        <w:t>章、合同主要条款</w:t>
      </w:r>
      <w:bookmarkEnd w:id="18"/>
      <w:bookmarkEnd w:id="19"/>
    </w:p>
    <w:p>
      <w:pPr>
        <w:tabs>
          <w:tab w:val="left" w:pos="480"/>
        </w:tabs>
        <w:spacing w:line="360" w:lineRule="auto"/>
        <w:jc w:val="center"/>
        <w:rPr>
          <w:rFonts w:ascii="华文细黑" w:hAnsi="华文细黑" w:eastAsia="华文细黑"/>
          <w:b/>
          <w:bCs/>
          <w:sz w:val="32"/>
          <w:szCs w:val="32"/>
        </w:rPr>
      </w:pPr>
    </w:p>
    <w:p>
      <w:pPr>
        <w:pStyle w:val="33"/>
        <w:outlineLvl w:val="1"/>
        <w:rPr>
          <w:b/>
        </w:rPr>
      </w:pPr>
      <w:bookmarkStart w:id="20" w:name="_Toc11353"/>
      <w:bookmarkStart w:id="21" w:name="_Toc25938"/>
      <w:r>
        <w:rPr>
          <w:rFonts w:hint="eastAsia"/>
          <w:b/>
        </w:rPr>
        <w:t>一、合同主要条款组成部分</w:t>
      </w:r>
      <w:bookmarkEnd w:id="20"/>
      <w:bookmarkEnd w:id="21"/>
    </w:p>
    <w:p>
      <w:pPr>
        <w:jc w:val="left"/>
        <w:rPr>
          <w:rFonts w:ascii="华文细黑" w:hAnsi="华文细黑" w:eastAsia="华文细黑"/>
          <w:szCs w:val="21"/>
        </w:rPr>
      </w:pPr>
      <w:r>
        <w:rPr>
          <w:rFonts w:hint="eastAsia" w:ascii="华文细黑" w:hAnsi="华文细黑" w:eastAsia="华文细黑"/>
          <w:szCs w:val="21"/>
        </w:rPr>
        <w:t>1、合同</w:t>
      </w:r>
      <w:r>
        <w:rPr>
          <w:rFonts w:hint="eastAsia" w:ascii="华文细黑" w:hAnsi="华文细黑" w:eastAsia="华文细黑"/>
          <w:szCs w:val="21"/>
          <w:lang w:eastAsia="zh-CN"/>
        </w:rPr>
        <w:t>主要条款</w:t>
      </w:r>
    </w:p>
    <w:p>
      <w:pPr>
        <w:jc w:val="left"/>
        <w:rPr>
          <w:rFonts w:ascii="华文细黑" w:hAnsi="华文细黑" w:eastAsia="华文细黑"/>
          <w:szCs w:val="21"/>
        </w:rPr>
      </w:pPr>
    </w:p>
    <w:p>
      <w:pPr>
        <w:jc w:val="center"/>
        <w:rPr>
          <w:rFonts w:hint="eastAsia" w:ascii="华文细黑" w:hAnsi="华文细黑" w:eastAsia="华文细黑"/>
          <w:sz w:val="32"/>
          <w:szCs w:val="32"/>
          <w:lang w:eastAsia="zh-CN"/>
        </w:rPr>
      </w:pPr>
      <w:r>
        <w:rPr>
          <w:rFonts w:hint="eastAsia" w:ascii="华文细黑" w:hAnsi="华文细黑" w:eastAsia="华文细黑"/>
          <w:sz w:val="32"/>
          <w:szCs w:val="32"/>
          <w:lang w:eastAsia="zh-CN"/>
        </w:rPr>
        <w:t>合同主要条款</w:t>
      </w:r>
    </w:p>
    <w:p>
      <w:pPr>
        <w:jc w:val="left"/>
        <w:rPr>
          <w:rFonts w:ascii="华文细黑" w:hAnsi="华文细黑" w:eastAsia="华文细黑"/>
          <w:szCs w:val="21"/>
        </w:rPr>
      </w:pPr>
    </w:p>
    <w:p>
      <w:pPr>
        <w:spacing w:line="360" w:lineRule="auto"/>
        <w:rPr>
          <w:rFonts w:hint="eastAsia" w:ascii="华文细黑" w:hAnsi="华文细黑" w:eastAsia="华文细黑"/>
          <w:color w:val="000000"/>
          <w:szCs w:val="21"/>
          <w:lang w:eastAsia="zh-CN"/>
        </w:rPr>
      </w:pPr>
      <w:r>
        <w:rPr>
          <w:rFonts w:hint="eastAsia" w:ascii="华文细黑" w:hAnsi="华文细黑" w:eastAsia="华文细黑"/>
          <w:color w:val="000000"/>
          <w:szCs w:val="21"/>
        </w:rPr>
        <w:t>采购方（甲方）：</w:t>
      </w:r>
      <w:r>
        <w:rPr>
          <w:rFonts w:hint="eastAsia" w:ascii="华文细黑" w:hAnsi="华文细黑" w:eastAsia="华文细黑"/>
          <w:color w:val="000000"/>
          <w:szCs w:val="21"/>
          <w:lang w:eastAsia="zh-CN"/>
        </w:rPr>
        <w:t>苏州胥城食品有限公司</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供货方（乙方）：</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购销双方依据《中华人民共和国合同法》及其他相关法律法规，经过自愿平等协商，就达成协议如下：</w:t>
      </w:r>
    </w:p>
    <w:p>
      <w:pPr>
        <w:spacing w:line="360" w:lineRule="auto"/>
        <w:ind w:firstLine="482"/>
        <w:rPr>
          <w:rFonts w:ascii="华文细黑" w:hAnsi="华文细黑" w:eastAsia="华文细黑"/>
          <w:color w:val="000000"/>
          <w:szCs w:val="21"/>
        </w:rPr>
      </w:pPr>
      <w:r>
        <w:rPr>
          <w:rFonts w:hint="eastAsia" w:ascii="华文细黑" w:hAnsi="华文细黑" w:eastAsia="华文细黑"/>
          <w:b/>
          <w:color w:val="000000"/>
          <w:szCs w:val="21"/>
        </w:rPr>
        <w:t>第一条</w:t>
      </w:r>
      <w:r>
        <w:rPr>
          <w:rFonts w:hint="eastAsia" w:ascii="华文细黑" w:hAnsi="华文细黑" w:eastAsia="华文细黑"/>
          <w:color w:val="000000"/>
          <w:szCs w:val="21"/>
        </w:rPr>
        <w:t xml:space="preserve"> 乙方向甲方提供如下产品（详见下表清单）</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395"/>
        <w:gridCol w:w="1215"/>
        <w:gridCol w:w="1125"/>
        <w:gridCol w:w="1230"/>
        <w:gridCol w:w="85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22" w:name="_Toc28095"/>
            <w:bookmarkStart w:id="23" w:name="_Toc8295"/>
            <w:bookmarkStart w:id="24" w:name="_Toc7502"/>
            <w:bookmarkStart w:id="25" w:name="_Toc5533"/>
            <w:bookmarkStart w:id="26" w:name="_Toc4140"/>
            <w:bookmarkStart w:id="27" w:name="_Toc22786"/>
            <w:bookmarkStart w:id="28" w:name="_Toc499892167"/>
            <w:r>
              <w:rPr>
                <w:rFonts w:hint="eastAsia" w:ascii="华文细黑" w:hAnsi="华文细黑" w:eastAsia="华文细黑"/>
                <w:bCs/>
                <w:szCs w:val="21"/>
              </w:rPr>
              <w:t>品名</w:t>
            </w:r>
            <w:bookmarkEnd w:id="22"/>
            <w:bookmarkEnd w:id="23"/>
            <w:bookmarkEnd w:id="24"/>
            <w:bookmarkEnd w:id="25"/>
            <w:bookmarkEnd w:id="26"/>
            <w:bookmarkEnd w:id="27"/>
            <w:bookmarkEnd w:id="28"/>
          </w:p>
        </w:tc>
        <w:tc>
          <w:tcPr>
            <w:tcW w:w="1395" w:type="dxa"/>
          </w:tcPr>
          <w:p>
            <w:pPr>
              <w:pStyle w:val="33"/>
              <w:spacing w:line="240" w:lineRule="auto"/>
              <w:outlineLvl w:val="1"/>
              <w:rPr>
                <w:rFonts w:hint="eastAsia" w:ascii="华文细黑" w:hAnsi="华文细黑" w:eastAsia="华文细黑"/>
                <w:bCs/>
                <w:szCs w:val="21"/>
                <w:lang w:eastAsia="zh-CN"/>
              </w:rPr>
            </w:pPr>
            <w:bookmarkStart w:id="29" w:name="_Toc22547"/>
            <w:bookmarkStart w:id="30" w:name="_Toc32690"/>
            <w:bookmarkStart w:id="31" w:name="_Toc19943"/>
            <w:bookmarkStart w:id="32" w:name="_Toc10509"/>
            <w:bookmarkStart w:id="33" w:name="_Toc31652"/>
            <w:r>
              <w:rPr>
                <w:rFonts w:hint="eastAsia" w:ascii="华文细黑" w:hAnsi="华文细黑" w:eastAsia="华文细黑"/>
                <w:bCs/>
                <w:szCs w:val="21"/>
                <w:lang w:eastAsia="zh-CN"/>
              </w:rPr>
              <w:t>技术参数</w:t>
            </w:r>
            <w:bookmarkEnd w:id="29"/>
            <w:bookmarkEnd w:id="30"/>
            <w:bookmarkEnd w:id="31"/>
            <w:bookmarkEnd w:id="32"/>
            <w:bookmarkEnd w:id="33"/>
          </w:p>
        </w:tc>
        <w:tc>
          <w:tcPr>
            <w:tcW w:w="1215" w:type="dxa"/>
          </w:tcPr>
          <w:p>
            <w:pPr>
              <w:pStyle w:val="33"/>
              <w:spacing w:line="240" w:lineRule="auto"/>
              <w:outlineLvl w:val="1"/>
              <w:rPr>
                <w:rFonts w:ascii="华文细黑" w:hAnsi="华文细黑" w:eastAsia="华文细黑"/>
                <w:bCs/>
                <w:szCs w:val="21"/>
              </w:rPr>
            </w:pPr>
            <w:bookmarkStart w:id="34" w:name="_Toc3357"/>
            <w:bookmarkStart w:id="35" w:name="_Toc22917"/>
            <w:bookmarkStart w:id="36" w:name="_Toc4200"/>
            <w:bookmarkStart w:id="37" w:name="_Toc499892169"/>
            <w:bookmarkStart w:id="38" w:name="_Toc29900"/>
            <w:bookmarkStart w:id="39" w:name="_Toc5498"/>
            <w:bookmarkStart w:id="40" w:name="_Toc30639"/>
            <w:r>
              <w:rPr>
                <w:rFonts w:hint="eastAsia" w:ascii="华文细黑" w:hAnsi="华文细黑" w:eastAsia="华文细黑"/>
                <w:bCs/>
                <w:szCs w:val="21"/>
              </w:rPr>
              <w:t>数量</w:t>
            </w:r>
            <w:bookmarkEnd w:id="34"/>
            <w:bookmarkEnd w:id="35"/>
            <w:bookmarkEnd w:id="36"/>
            <w:bookmarkEnd w:id="37"/>
            <w:bookmarkEnd w:id="38"/>
            <w:bookmarkEnd w:id="39"/>
            <w:bookmarkEnd w:id="40"/>
          </w:p>
        </w:tc>
        <w:tc>
          <w:tcPr>
            <w:tcW w:w="1125" w:type="dxa"/>
          </w:tcPr>
          <w:p>
            <w:pPr>
              <w:pStyle w:val="33"/>
              <w:spacing w:line="240" w:lineRule="auto"/>
              <w:outlineLvl w:val="1"/>
              <w:rPr>
                <w:rFonts w:ascii="华文细黑" w:hAnsi="华文细黑" w:eastAsia="华文细黑"/>
                <w:bCs/>
                <w:szCs w:val="21"/>
              </w:rPr>
            </w:pPr>
            <w:bookmarkStart w:id="41" w:name="_Toc14697"/>
            <w:bookmarkStart w:id="42" w:name="_Toc438"/>
            <w:bookmarkStart w:id="43" w:name="_Toc19312"/>
            <w:bookmarkStart w:id="44" w:name="_Toc499892170"/>
            <w:bookmarkStart w:id="45" w:name="_Toc5050"/>
            <w:bookmarkStart w:id="46" w:name="_Toc3499"/>
            <w:bookmarkStart w:id="47" w:name="_Toc5121"/>
            <w:r>
              <w:rPr>
                <w:rFonts w:hint="eastAsia" w:ascii="华文细黑" w:hAnsi="华文细黑" w:eastAsia="华文细黑"/>
                <w:bCs/>
                <w:szCs w:val="21"/>
              </w:rPr>
              <w:t>单价</w:t>
            </w:r>
            <w:bookmarkEnd w:id="41"/>
            <w:bookmarkEnd w:id="42"/>
            <w:bookmarkEnd w:id="43"/>
            <w:bookmarkEnd w:id="44"/>
            <w:bookmarkEnd w:id="45"/>
            <w:bookmarkEnd w:id="46"/>
            <w:bookmarkEnd w:id="47"/>
          </w:p>
        </w:tc>
        <w:tc>
          <w:tcPr>
            <w:tcW w:w="1230" w:type="dxa"/>
          </w:tcPr>
          <w:p>
            <w:pPr>
              <w:pStyle w:val="33"/>
              <w:spacing w:line="240" w:lineRule="auto"/>
              <w:outlineLvl w:val="1"/>
              <w:rPr>
                <w:rFonts w:ascii="华文细黑" w:hAnsi="华文细黑" w:eastAsia="华文细黑"/>
                <w:bCs/>
                <w:szCs w:val="21"/>
              </w:rPr>
            </w:pPr>
            <w:bookmarkStart w:id="48" w:name="_Toc4460"/>
            <w:bookmarkStart w:id="49" w:name="_Toc2406"/>
            <w:bookmarkStart w:id="50" w:name="_Toc7061"/>
            <w:bookmarkStart w:id="51" w:name="_Toc17013"/>
            <w:bookmarkStart w:id="52" w:name="_Toc499892171"/>
            <w:bookmarkStart w:id="53" w:name="_Toc20867"/>
            <w:bookmarkStart w:id="54" w:name="_Toc18635"/>
            <w:r>
              <w:rPr>
                <w:rFonts w:hint="eastAsia" w:ascii="华文细黑" w:hAnsi="华文细黑" w:eastAsia="华文细黑"/>
                <w:bCs/>
                <w:szCs w:val="21"/>
              </w:rPr>
              <w:t>金额</w:t>
            </w:r>
            <w:bookmarkEnd w:id="48"/>
            <w:bookmarkEnd w:id="49"/>
            <w:bookmarkEnd w:id="50"/>
            <w:bookmarkEnd w:id="51"/>
            <w:bookmarkEnd w:id="52"/>
            <w:bookmarkEnd w:id="53"/>
            <w:bookmarkEnd w:id="54"/>
          </w:p>
        </w:tc>
        <w:tc>
          <w:tcPr>
            <w:tcW w:w="855" w:type="dxa"/>
          </w:tcPr>
          <w:p>
            <w:pPr>
              <w:pStyle w:val="33"/>
              <w:spacing w:line="240" w:lineRule="auto"/>
              <w:outlineLvl w:val="1"/>
              <w:rPr>
                <w:rFonts w:ascii="华文细黑" w:hAnsi="华文细黑" w:eastAsia="华文细黑"/>
                <w:bCs/>
                <w:szCs w:val="21"/>
              </w:rPr>
            </w:pPr>
            <w:bookmarkStart w:id="55" w:name="_Toc16319"/>
            <w:bookmarkStart w:id="56" w:name="_Toc20183"/>
            <w:bookmarkStart w:id="57" w:name="_Toc17197"/>
            <w:bookmarkStart w:id="58" w:name="_Toc499892172"/>
            <w:bookmarkStart w:id="59" w:name="_Toc157"/>
            <w:bookmarkStart w:id="60" w:name="_Toc13731"/>
            <w:bookmarkStart w:id="61" w:name="_Toc23451"/>
            <w:r>
              <w:rPr>
                <w:rFonts w:hint="eastAsia" w:ascii="华文细黑" w:hAnsi="华文细黑" w:eastAsia="华文细黑"/>
                <w:bCs/>
                <w:szCs w:val="21"/>
              </w:rPr>
              <w:t>税率</w:t>
            </w:r>
            <w:bookmarkEnd w:id="55"/>
            <w:bookmarkEnd w:id="56"/>
            <w:bookmarkEnd w:id="57"/>
            <w:bookmarkEnd w:id="58"/>
            <w:bookmarkEnd w:id="59"/>
            <w:bookmarkEnd w:id="60"/>
            <w:bookmarkEnd w:id="61"/>
          </w:p>
        </w:tc>
        <w:tc>
          <w:tcPr>
            <w:tcW w:w="1276" w:type="dxa"/>
          </w:tcPr>
          <w:p>
            <w:pPr>
              <w:pStyle w:val="33"/>
              <w:spacing w:line="240" w:lineRule="auto"/>
              <w:outlineLvl w:val="1"/>
              <w:rPr>
                <w:rFonts w:ascii="华文细黑" w:hAnsi="华文细黑" w:eastAsia="华文细黑"/>
                <w:bCs/>
                <w:szCs w:val="21"/>
              </w:rPr>
            </w:pPr>
            <w:bookmarkStart w:id="62" w:name="_Toc23732"/>
            <w:bookmarkStart w:id="63" w:name="_Toc499892173"/>
            <w:bookmarkStart w:id="64" w:name="_Toc15998"/>
            <w:bookmarkStart w:id="65" w:name="_Toc18916"/>
            <w:bookmarkStart w:id="66" w:name="_Toc18891"/>
            <w:bookmarkStart w:id="67" w:name="_Toc14775"/>
            <w:bookmarkStart w:id="68" w:name="_Toc25682"/>
            <w:r>
              <w:rPr>
                <w:rFonts w:hint="eastAsia" w:ascii="华文细黑" w:hAnsi="华文细黑" w:eastAsia="华文细黑"/>
                <w:bCs/>
                <w:szCs w:val="21"/>
              </w:rPr>
              <w:t>备注</w:t>
            </w:r>
            <w:bookmarkEnd w:id="62"/>
            <w:bookmarkEnd w:id="63"/>
            <w:bookmarkEnd w:id="64"/>
            <w:bookmarkEnd w:id="65"/>
            <w:bookmarkEnd w:id="66"/>
            <w:bookmarkEnd w:id="67"/>
            <w:bookmark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69" w:name="_Toc27909"/>
            <w:bookmarkStart w:id="70" w:name="_Toc5108"/>
            <w:bookmarkStart w:id="71" w:name="_Toc1976"/>
            <w:bookmarkStart w:id="72" w:name="_Toc499892174"/>
            <w:bookmarkStart w:id="73" w:name="_Toc31554"/>
            <w:bookmarkStart w:id="74" w:name="_Toc7630"/>
            <w:bookmarkStart w:id="75" w:name="_Toc18598"/>
            <w:r>
              <w:rPr>
                <w:rFonts w:hint="eastAsia" w:ascii="华文细黑" w:hAnsi="华文细黑" w:eastAsia="华文细黑"/>
                <w:bCs/>
                <w:szCs w:val="21"/>
              </w:rPr>
              <w:t>合计</w:t>
            </w:r>
            <w:bookmarkEnd w:id="69"/>
            <w:bookmarkEnd w:id="70"/>
            <w:bookmarkEnd w:id="71"/>
            <w:bookmarkEnd w:id="72"/>
            <w:bookmarkEnd w:id="73"/>
            <w:bookmarkEnd w:id="74"/>
            <w:bookmarkEnd w:id="75"/>
          </w:p>
        </w:tc>
        <w:tc>
          <w:tcPr>
            <w:tcW w:w="7096" w:type="dxa"/>
            <w:gridSpan w:val="6"/>
          </w:tcPr>
          <w:p>
            <w:pPr>
              <w:pStyle w:val="33"/>
              <w:spacing w:line="240" w:lineRule="auto"/>
              <w:outlineLvl w:val="1"/>
              <w:rPr>
                <w:rFonts w:ascii="华文细黑" w:hAnsi="华文细黑" w:eastAsia="华文细黑"/>
                <w:bCs/>
                <w:szCs w:val="21"/>
              </w:rPr>
            </w:pPr>
          </w:p>
        </w:tc>
      </w:tr>
    </w:tbl>
    <w:p>
      <w:pPr>
        <w:pStyle w:val="33"/>
        <w:spacing w:line="240" w:lineRule="auto"/>
        <w:rPr>
          <w:rFonts w:hint="eastAsia" w:ascii="华文细黑" w:hAnsi="华文细黑" w:eastAsia="华文细黑"/>
          <w:b/>
          <w:color w:val="000000"/>
          <w:sz w:val="21"/>
          <w:szCs w:val="21"/>
        </w:rPr>
      </w:pPr>
      <w:r>
        <w:rPr>
          <w:rFonts w:hint="eastAsia" w:ascii="华文细黑" w:hAnsi="华文细黑" w:eastAsia="华文细黑"/>
          <w:b/>
          <w:color w:val="000000"/>
          <w:sz w:val="21"/>
          <w:szCs w:val="21"/>
          <w:lang w:eastAsia="zh-CN"/>
        </w:rPr>
        <w:t>注：单价中含装卸费、包装费、人工服务、运费、税费等所有费用；</w:t>
      </w:r>
    </w:p>
    <w:p>
      <w:pPr>
        <w:pStyle w:val="33"/>
        <w:spacing w:line="240" w:lineRule="auto"/>
        <w:rPr>
          <w:rFonts w:ascii="华文细黑" w:hAnsi="华文细黑" w:eastAsia="华文细黑"/>
          <w:color w:val="000000"/>
          <w:sz w:val="21"/>
          <w:szCs w:val="21"/>
          <w:u w:val="single"/>
        </w:rPr>
      </w:pPr>
      <w:r>
        <w:rPr>
          <w:rFonts w:hint="eastAsia" w:ascii="华文细黑" w:hAnsi="华文细黑" w:eastAsia="华文细黑"/>
          <w:b/>
          <w:color w:val="000000"/>
          <w:sz w:val="21"/>
          <w:szCs w:val="21"/>
        </w:rPr>
        <w:t>第二条</w:t>
      </w:r>
      <w:r>
        <w:rPr>
          <w:rFonts w:hint="eastAsia" w:ascii="华文细黑" w:hAnsi="华文细黑" w:eastAsia="华文细黑"/>
          <w:color w:val="000000"/>
          <w:sz w:val="21"/>
          <w:szCs w:val="21"/>
        </w:rPr>
        <w:t xml:space="preserve"> 合同履行地及交货方式：合同履行地在甲方，由乙方将货物交付至甲方指定地点：</w:t>
      </w:r>
      <w:r>
        <w:rPr>
          <w:rFonts w:hint="eastAsia" w:ascii="华文细黑" w:hAnsi="华文细黑" w:eastAsia="华文细黑"/>
          <w:color w:val="000000"/>
          <w:sz w:val="21"/>
          <w:szCs w:val="21"/>
          <w:u w:val="single"/>
        </w:rPr>
        <w:t xml:space="preserve">                   ；</w:t>
      </w:r>
      <w:bookmarkStart w:id="76" w:name="_GoBack"/>
      <w:bookmarkEnd w:id="76"/>
    </w:p>
    <w:p>
      <w:pPr>
        <w:pStyle w:val="33"/>
        <w:spacing w:line="240" w:lineRule="auto"/>
        <w:rPr>
          <w:rFonts w:ascii="华文细黑" w:hAnsi="华文细黑" w:eastAsia="华文细黑"/>
          <w:color w:val="000000"/>
          <w:sz w:val="21"/>
          <w:szCs w:val="21"/>
        </w:rPr>
      </w:pPr>
      <w:r>
        <w:rPr>
          <w:rFonts w:hint="eastAsia" w:ascii="华文细黑" w:hAnsi="华文细黑" w:eastAsia="华文细黑"/>
          <w:b/>
          <w:color w:val="000000"/>
          <w:sz w:val="21"/>
          <w:szCs w:val="21"/>
        </w:rPr>
        <w:t>第三条</w:t>
      </w:r>
      <w:r>
        <w:rPr>
          <w:rFonts w:hint="eastAsia" w:ascii="华文细黑" w:hAnsi="华文细黑" w:eastAsia="华文细黑"/>
          <w:color w:val="000000"/>
          <w:sz w:val="21"/>
          <w:szCs w:val="21"/>
        </w:rPr>
        <w:t xml:space="preserve"> 运费承担按照以下第</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lang w:val="en-US" w:eastAsia="zh-CN"/>
        </w:rPr>
        <w:t>2</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rPr>
        <w:t>种方式执行。</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（1）甲方承担；</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（2）乙方承担。</w:t>
      </w:r>
    </w:p>
    <w:p>
      <w:pPr>
        <w:pStyle w:val="33"/>
        <w:spacing w:line="240" w:lineRule="auto"/>
        <w:rPr>
          <w:rFonts w:hint="eastAsia" w:ascii="华文细黑" w:hAnsi="华文细黑" w:eastAsia="华文细黑"/>
          <w:color w:val="000000"/>
          <w:sz w:val="21"/>
          <w:szCs w:val="21"/>
          <w:u w:val="single"/>
        </w:rPr>
      </w:pPr>
      <w:r>
        <w:rPr>
          <w:rFonts w:hint="eastAsia" w:ascii="华文细黑" w:hAnsi="华文细黑" w:eastAsia="华文细黑"/>
          <w:b/>
          <w:color w:val="000000"/>
          <w:sz w:val="21"/>
          <w:szCs w:val="21"/>
        </w:rPr>
        <w:t>第四条</w:t>
      </w:r>
      <w:r>
        <w:rPr>
          <w:rFonts w:hint="eastAsia" w:ascii="华文细黑" w:hAnsi="华文细黑" w:eastAsia="华文细黑"/>
          <w:color w:val="000000"/>
          <w:sz w:val="21"/>
          <w:szCs w:val="21"/>
        </w:rPr>
        <w:t xml:space="preserve"> 质量标准：依甲方认可的质量标准进行验收，其具体</w:t>
      </w:r>
      <w:r>
        <w:rPr>
          <w:rFonts w:hint="eastAsia" w:ascii="华文细黑" w:hAnsi="华文细黑" w:eastAsia="华文细黑"/>
          <w:color w:val="000000"/>
          <w:sz w:val="21"/>
          <w:szCs w:val="21"/>
          <w:u w:val="single"/>
        </w:rPr>
        <w:t>：</w:t>
      </w:r>
      <w:r>
        <w:rPr>
          <w:rFonts w:hint="eastAsia" w:ascii="华文细黑" w:hAnsi="华文细黑" w:eastAsia="华文细黑"/>
          <w:color w:val="000000"/>
          <w:sz w:val="21"/>
          <w:szCs w:val="21"/>
          <w:u w:val="single"/>
          <w:lang w:val="en-US" w:eastAsia="zh-CN"/>
        </w:rPr>
        <w:t xml:space="preserve">            ；</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乙方对所供产品的质量保证期从验收合格之日起二年并实行三包服务（包换、包退、包修）。</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第五条 乙方应当提供主管部门出具的证明文件(或者批准证书)，因文件不全而导致物的所有权不能及时转移给甲方的，乙方应承担违约责任。</w:t>
      </w:r>
    </w:p>
    <w:p>
      <w:pPr>
        <w:pStyle w:val="33"/>
        <w:spacing w:line="240" w:lineRule="auto"/>
        <w:rPr>
          <w:rFonts w:ascii="华文细黑" w:hAnsi="华文细黑" w:eastAsia="华文细黑"/>
          <w:bCs/>
          <w:szCs w:val="21"/>
          <w:u w:val="single"/>
        </w:rPr>
      </w:pPr>
      <w:r>
        <w:rPr>
          <w:rFonts w:hint="eastAsia" w:ascii="华文细黑" w:hAnsi="华文细黑" w:eastAsia="华文细黑"/>
          <w:b/>
          <w:color w:val="000000"/>
          <w:sz w:val="21"/>
          <w:szCs w:val="21"/>
        </w:rPr>
        <w:t>第六条</w:t>
      </w:r>
      <w:r>
        <w:rPr>
          <w:rFonts w:hint="eastAsia" w:ascii="华文细黑" w:hAnsi="华文细黑" w:eastAsia="华文细黑"/>
          <w:color w:val="000000"/>
          <w:sz w:val="21"/>
          <w:szCs w:val="21"/>
        </w:rPr>
        <w:t xml:space="preserve"> 交货时间：</w:t>
      </w:r>
      <w:r>
        <w:rPr>
          <w:rFonts w:hint="eastAsia" w:ascii="华文细黑" w:hAnsi="华文细黑" w:eastAsia="华文细黑"/>
          <w:color w:val="000000"/>
          <w:sz w:val="21"/>
          <w:szCs w:val="21"/>
          <w:u w:val="single"/>
        </w:rPr>
        <w:t xml:space="preserve"> </w:t>
      </w:r>
      <w:r>
        <w:rPr>
          <w:rFonts w:hint="eastAsia" w:ascii="华文细黑" w:hAnsi="华文细黑" w:eastAsia="华文细黑"/>
          <w:u w:val="single"/>
          <w:lang w:val="en-US" w:eastAsia="zh-CN"/>
        </w:rPr>
        <w:t>合同签订后120日内交货并完成及采购单位组织的验收工作</w:t>
      </w:r>
      <w:r>
        <w:rPr>
          <w:rFonts w:hint="eastAsia" w:ascii="华文细黑" w:hAnsi="华文细黑" w:eastAsia="华文细黑"/>
          <w:color w:val="000000"/>
          <w:sz w:val="21"/>
          <w:szCs w:val="21"/>
          <w:u w:val="single"/>
        </w:rPr>
        <w:t>；</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第七条</w:t>
      </w:r>
      <w:r>
        <w:rPr>
          <w:rFonts w:hint="eastAsia" w:ascii="华文细黑" w:hAnsi="华文细黑" w:eastAsia="华文细黑"/>
          <w:bCs/>
          <w:szCs w:val="21"/>
        </w:rPr>
        <w:t xml:space="preserve"> 价款支付时间、方式</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7．1付款时间与付款方式，除双方另有书面协议外，应于甲方验收乙方货品合格及出具验收文件后，且经甲方收到乙方发票之日起计算。</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.2</w:t>
      </w:r>
      <w:r>
        <w:rPr>
          <w:rFonts w:ascii="华文细黑" w:hAnsi="华文细黑" w:eastAsia="华文细黑"/>
          <w:bCs/>
          <w:szCs w:val="21"/>
        </w:rPr>
        <w:tab/>
      </w:r>
      <w:r>
        <w:rPr>
          <w:rFonts w:hint="eastAsia" w:ascii="华文细黑" w:hAnsi="华文细黑" w:eastAsia="华文细黑"/>
          <w:bCs/>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 xml:space="preserve">.3 </w:t>
      </w:r>
      <w:r>
        <w:rPr>
          <w:rFonts w:hint="eastAsia" w:ascii="华文细黑" w:hAnsi="华文细黑" w:eastAsia="华文细黑"/>
          <w:bCs/>
          <w:szCs w:val="21"/>
        </w:rPr>
        <w:t>乙方违反本合同任一约定时，甲方有权在应付货款中扣除乙方因违约而应承担的所有费用与违约金及赔偿金额。</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7.4付款时间和付款方式：</w:t>
      </w:r>
      <w:r>
        <w:rPr>
          <w:rFonts w:hint="eastAsia" w:ascii="华文细黑" w:hAnsi="华文细黑" w:eastAsia="华文细黑"/>
          <w:bCs/>
          <w:szCs w:val="21"/>
          <w:u w:val="single"/>
        </w:rPr>
        <w:t>合同生效后，乙方所提供的标的物全部交付完毕后支付总金额的30%；整体验收合格后，甲方再次支付到合同金额的95%；预留5%质量保证金，在壹年后无质量及服务响应度问题付清</w:t>
      </w:r>
      <w:r>
        <w:rPr>
          <w:rFonts w:hint="eastAsia" w:ascii="华文细黑" w:hAnsi="华文细黑" w:eastAsia="华文细黑"/>
          <w:bCs/>
          <w:szCs w:val="21"/>
          <w:u w:val="single"/>
          <w:lang w:eastAsia="zh-CN"/>
        </w:rPr>
        <w:t>；</w:t>
      </w:r>
    </w:p>
    <w:p>
      <w:pPr>
        <w:pStyle w:val="33"/>
        <w:numPr>
          <w:ilvl w:val="0"/>
          <w:numId w:val="7"/>
        </w:numPr>
        <w:spacing w:line="240" w:lineRule="auto"/>
        <w:rPr>
          <w:rFonts w:hint="eastAsia" w:ascii="华文细黑" w:hAnsi="华文细黑" w:eastAsia="华文细黑"/>
          <w:bCs/>
          <w:szCs w:val="21"/>
          <w:lang w:eastAsia="zh-CN"/>
        </w:rPr>
      </w:pPr>
      <w:r>
        <w:rPr>
          <w:rFonts w:hint="eastAsia" w:ascii="华文细黑" w:hAnsi="华文细黑" w:eastAsia="华文细黑"/>
          <w:bCs/>
          <w:szCs w:val="21"/>
          <w:lang w:eastAsia="zh-CN"/>
        </w:rPr>
        <w:t>售后服务：</w:t>
      </w:r>
    </w:p>
    <w:p>
      <w:pPr>
        <w:pStyle w:val="33"/>
        <w:spacing w:line="240" w:lineRule="auto"/>
        <w:rPr>
          <w:rFonts w:hint="eastAsia" w:ascii="华文细黑" w:hAnsi="华文细黑" w:eastAsia="华文细黑"/>
          <w:bCs/>
          <w:szCs w:val="21"/>
          <w:u w:val="single"/>
        </w:rPr>
      </w:pPr>
      <w:r>
        <w:rPr>
          <w:rFonts w:hint="eastAsia" w:ascii="华文细黑" w:hAnsi="华文细黑" w:eastAsia="华文细黑"/>
          <w:bCs/>
          <w:szCs w:val="21"/>
          <w:u w:val="single"/>
        </w:rPr>
        <w:t>免费质保期不低于一年。质保期内，中标单位提供5×8小时的保障服务，并在半小时内响应，2小时内到达现场，一般故障需在4小时内维修完毕，如需更换产品或送修，必须在2个工作日内解决。</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九</w:t>
      </w:r>
      <w:r>
        <w:rPr>
          <w:rFonts w:hint="eastAsia" w:ascii="华文细黑" w:hAnsi="华文细黑" w:eastAsia="华文细黑"/>
          <w:b/>
          <w:bCs/>
          <w:szCs w:val="21"/>
        </w:rPr>
        <w:t>条</w:t>
      </w:r>
      <w:r>
        <w:rPr>
          <w:rFonts w:hint="eastAsia" w:ascii="华文细黑" w:hAnsi="华文细黑" w:eastAsia="华文细黑"/>
          <w:bCs/>
          <w:szCs w:val="21"/>
        </w:rPr>
        <w:t xml:space="preserve"> 变更和解除合同</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8.1乙方不得将本合约全部或部分权利或义务移转予第三人。</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十</w:t>
      </w:r>
      <w:r>
        <w:rPr>
          <w:rFonts w:hint="eastAsia" w:ascii="华文细黑" w:hAnsi="华文细黑" w:eastAsia="华文细黑"/>
          <w:b/>
          <w:bCs/>
          <w:szCs w:val="21"/>
        </w:rPr>
        <w:t>条</w:t>
      </w:r>
      <w:r>
        <w:rPr>
          <w:rFonts w:hint="eastAsia" w:ascii="华文细黑" w:hAnsi="华文细黑" w:eastAsia="华文细黑"/>
          <w:bCs/>
          <w:szCs w:val="21"/>
        </w:rPr>
        <w:t xml:space="preserve"> 不可抗力</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一</w:t>
      </w:r>
      <w:r>
        <w:rPr>
          <w:rFonts w:hint="eastAsia" w:ascii="华文细黑" w:hAnsi="华文细黑" w:eastAsia="华文细黑"/>
          <w:b/>
          <w:bCs/>
          <w:szCs w:val="21"/>
        </w:rPr>
        <w:t>条</w:t>
      </w:r>
      <w:r>
        <w:rPr>
          <w:rFonts w:hint="eastAsia" w:ascii="华文细黑" w:hAnsi="华文细黑" w:eastAsia="华文细黑"/>
          <w:bCs/>
          <w:szCs w:val="21"/>
        </w:rPr>
        <w:t xml:space="preserve"> 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甲方违约责任：若甲方未按约定付款，每逾期一日，按未付款金额以银行同期贷款利率计算违约金。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乙方违约责任：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2、如乙方违反本合同或订单所要求之质量，致所提供之货物有瑕疵或其它质量问题时，甲方除得依本合同相关条款主张权利外，并有权要求乙方支付该笔货品订单合同总价的百分之二十的违约金。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 xml:space="preserve">3、因产品质量造成甲方损失，甲方有权向乙方索赔损失包括不限于检验费、换货的运费、仓储费、装卸费、保险费及诉讼中的律师费等。      </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4、乙方逾期交付发票的，按照逾期未交付发票的金额的1%向甲方支付违约金。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5、乙方逾期交货经甲方书面通知后仍迟延或拒绝，甲方有权单方面解除本合同并赔偿甲方所遭受损失，解除合同通知以甲方书面为准。</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二</w:t>
      </w:r>
      <w:r>
        <w:rPr>
          <w:rFonts w:hint="eastAsia" w:ascii="华文细黑" w:hAnsi="华文细黑" w:eastAsia="华文细黑"/>
          <w:b/>
          <w:bCs/>
          <w:szCs w:val="21"/>
        </w:rPr>
        <w:t>条</w:t>
      </w:r>
      <w:r>
        <w:rPr>
          <w:rFonts w:hint="eastAsia" w:ascii="华文细黑" w:hAnsi="华文细黑" w:eastAsia="华文细黑"/>
          <w:bCs/>
          <w:szCs w:val="21"/>
        </w:rPr>
        <w:t xml:space="preserve"> 争端解决</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甲乙双方因合同的解释或履行发生争议时，首先应通过友好协商解决；协商不成的，任何一方应向甲方所在地有管辖权的人民法院提请诉讼。</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三</w:t>
      </w:r>
      <w:r>
        <w:rPr>
          <w:rFonts w:hint="eastAsia" w:ascii="华文细黑" w:hAnsi="华文细黑" w:eastAsia="华文细黑"/>
          <w:b/>
          <w:bCs/>
          <w:szCs w:val="21"/>
        </w:rPr>
        <w:t>条</w:t>
      </w:r>
      <w:r>
        <w:rPr>
          <w:rFonts w:hint="eastAsia" w:ascii="华文细黑" w:hAnsi="华文细黑" w:eastAsia="华文细黑"/>
          <w:bCs/>
          <w:szCs w:val="21"/>
        </w:rPr>
        <w:t xml:space="preserve"> 本合同自双方当事人签字盖章后生效。</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四</w:t>
      </w:r>
      <w:r>
        <w:rPr>
          <w:rFonts w:hint="eastAsia" w:ascii="华文细黑" w:hAnsi="华文细黑" w:eastAsia="华文细黑"/>
          <w:b/>
          <w:bCs/>
          <w:szCs w:val="21"/>
        </w:rPr>
        <w:t>条</w:t>
      </w:r>
      <w:r>
        <w:rPr>
          <w:rFonts w:hint="eastAsia" w:ascii="华文细黑" w:hAnsi="华文细黑" w:eastAsia="华文细黑"/>
          <w:bCs/>
          <w:szCs w:val="21"/>
        </w:rPr>
        <w:t xml:space="preserve"> 本合同一式四份，甲乙双方各执两份，具有同等效力。</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五</w:t>
      </w:r>
      <w:r>
        <w:rPr>
          <w:rFonts w:hint="eastAsia" w:ascii="华文细黑" w:hAnsi="华文细黑" w:eastAsia="华文细黑"/>
          <w:b/>
          <w:bCs/>
          <w:szCs w:val="21"/>
        </w:rPr>
        <w:t>条</w:t>
      </w:r>
      <w:r>
        <w:rPr>
          <w:rFonts w:hint="eastAsia" w:ascii="华文细黑" w:hAnsi="华文细黑" w:eastAsia="华文细黑"/>
          <w:bCs/>
          <w:szCs w:val="21"/>
        </w:rPr>
        <w:t xml:space="preserve"> 本合同未尽事宜按照双方协商，另立补充协议，补充协议与本合同具有同等法律效力。</w:t>
      </w:r>
    </w:p>
    <w:p>
      <w:pPr>
        <w:pStyle w:val="33"/>
        <w:spacing w:line="240" w:lineRule="auto"/>
        <w:rPr>
          <w:rFonts w:ascii="华文细黑" w:hAnsi="华文细黑" w:eastAsia="华文细黑"/>
          <w:bCs/>
          <w:szCs w:val="21"/>
          <w:u w:val="single"/>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六</w:t>
      </w:r>
      <w:r>
        <w:rPr>
          <w:rFonts w:hint="eastAsia" w:ascii="华文细黑" w:hAnsi="华文细黑" w:eastAsia="华文细黑"/>
          <w:b/>
          <w:bCs/>
          <w:szCs w:val="21"/>
        </w:rPr>
        <w:t>条</w:t>
      </w:r>
      <w:r>
        <w:rPr>
          <w:rFonts w:hint="eastAsia" w:ascii="华文细黑" w:hAnsi="华文细黑" w:eastAsia="华文细黑"/>
          <w:bCs/>
          <w:szCs w:val="21"/>
        </w:rPr>
        <w:t xml:space="preserve"> 其他约定事项：</w:t>
      </w:r>
    </w:p>
    <w:p>
      <w:pPr>
        <w:pStyle w:val="33"/>
        <w:rPr>
          <w:rFonts w:ascii="华文细黑" w:hAnsi="华文细黑" w:eastAsia="华文细黑"/>
          <w:bCs/>
          <w:szCs w:val="21"/>
        </w:rPr>
      </w:pPr>
    </w:p>
    <w:p>
      <w:pPr>
        <w:pStyle w:val="33"/>
        <w:rPr>
          <w:rFonts w:ascii="华文细黑" w:hAnsi="华文细黑" w:eastAsia="华文细黑"/>
          <w:bCs/>
          <w:szCs w:val="21"/>
        </w:rPr>
      </w:pPr>
      <w:r>
        <w:rPr>
          <w:rFonts w:hint="eastAsia" w:ascii="华文细黑" w:hAnsi="华文细黑" w:eastAsia="华文细黑"/>
          <w:bCs/>
          <w:szCs w:val="21"/>
        </w:rPr>
        <w:t>甲方：                                    乙方：</w:t>
      </w:r>
    </w:p>
    <w:p>
      <w:pPr>
        <w:pStyle w:val="33"/>
        <w:rPr>
          <w:rFonts w:ascii="华文细黑" w:hAnsi="华文细黑" w:eastAsia="华文细黑"/>
          <w:bCs/>
          <w:szCs w:val="21"/>
        </w:rPr>
      </w:pPr>
      <w:r>
        <w:rPr>
          <w:rFonts w:hint="eastAsia" w:ascii="华文细黑" w:hAnsi="华文细黑" w:eastAsia="华文细黑"/>
          <w:bCs/>
          <w:szCs w:val="21"/>
        </w:rPr>
        <w:t>授权代表人（签字）：                       授权代表人（签字）：</w:t>
      </w:r>
    </w:p>
    <w:p>
      <w:pPr>
        <w:pStyle w:val="33"/>
        <w:rPr>
          <w:rFonts w:ascii="华文细黑" w:hAnsi="华文细黑" w:eastAsia="华文细黑"/>
          <w:bCs/>
          <w:szCs w:val="21"/>
        </w:rPr>
      </w:pPr>
      <w:r>
        <w:rPr>
          <w:rFonts w:hint="eastAsia" w:ascii="华文细黑" w:hAnsi="华文细黑" w:eastAsia="华文细黑"/>
          <w:bCs/>
          <w:szCs w:val="21"/>
        </w:rPr>
        <w:t>税号：                                    税号：</w:t>
      </w:r>
    </w:p>
    <w:p>
      <w:pPr>
        <w:pStyle w:val="33"/>
        <w:rPr>
          <w:rFonts w:ascii="华文细黑" w:hAnsi="华文细黑" w:eastAsia="华文细黑"/>
          <w:bCs/>
          <w:szCs w:val="21"/>
        </w:rPr>
      </w:pPr>
      <w:r>
        <w:rPr>
          <w:rFonts w:hint="eastAsia" w:ascii="华文细黑" w:hAnsi="华文细黑" w:eastAsia="华文细黑"/>
          <w:bCs/>
          <w:szCs w:val="21"/>
        </w:rPr>
        <w:t>开户行：                                  开户行：</w:t>
      </w:r>
    </w:p>
    <w:p>
      <w:pPr>
        <w:pStyle w:val="33"/>
        <w:rPr>
          <w:rFonts w:ascii="华文细黑" w:hAnsi="华文细黑" w:eastAsia="华文细黑"/>
          <w:bCs/>
          <w:szCs w:val="21"/>
        </w:rPr>
      </w:pPr>
      <w:r>
        <w:rPr>
          <w:rFonts w:hint="eastAsia" w:ascii="华文细黑" w:hAnsi="华文细黑" w:eastAsia="华文细黑"/>
          <w:bCs/>
          <w:szCs w:val="21"/>
        </w:rPr>
        <w:t>账号：                                    账号：</w:t>
      </w:r>
    </w:p>
    <w:p>
      <w:pPr>
        <w:pStyle w:val="33"/>
        <w:rPr>
          <w:rFonts w:ascii="华文细黑" w:hAnsi="华文细黑" w:eastAsia="华文细黑"/>
          <w:bCs/>
          <w:szCs w:val="21"/>
        </w:rPr>
      </w:pPr>
      <w:r>
        <w:rPr>
          <w:rFonts w:hint="eastAsia" w:ascii="华文细黑" w:hAnsi="华文细黑" w:eastAsia="华文细黑"/>
          <w:bCs/>
          <w:szCs w:val="21"/>
        </w:rPr>
        <w:t>日期：                                    日期：</w:t>
      </w:r>
    </w:p>
    <w:p>
      <w:pPr>
        <w:pStyle w:val="33"/>
        <w:spacing w:line="240" w:lineRule="auto"/>
        <w:rPr>
          <w:rFonts w:ascii="华文细黑" w:hAnsi="华文细黑" w:eastAsia="华文细黑"/>
          <w:bCs/>
          <w:sz w:val="21"/>
          <w:szCs w:val="21"/>
        </w:rPr>
      </w:pPr>
    </w:p>
    <w:p>
      <w:pPr>
        <w:adjustRightInd w:val="0"/>
        <w:snapToGrid w:val="0"/>
        <w:spacing w:line="360" w:lineRule="auto"/>
        <w:ind w:firstLine="840" w:firstLineChars="400"/>
        <w:rPr>
          <w:rFonts w:ascii="华文细黑" w:hAnsi="华文细黑" w:eastAsia="华文细黑"/>
          <w:szCs w:val="21"/>
        </w:rPr>
      </w:pPr>
    </w:p>
    <w:sectPr>
      <w:headerReference r:id="rId3" w:type="default"/>
      <w:footerReference r:id="rId4"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decorative"/>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A4E877"/>
    <w:multiLevelType w:val="singleLevel"/>
    <w:tmpl w:val="C0A4E877"/>
    <w:lvl w:ilvl="0" w:tentative="0">
      <w:start w:val="1"/>
      <w:numFmt w:val="decimal"/>
      <w:suff w:val="nothing"/>
      <w:lvlText w:val="%1、"/>
      <w:lvlJc w:val="left"/>
    </w:lvl>
  </w:abstractNum>
  <w:abstractNum w:abstractNumId="1">
    <w:nsid w:val="5A20AA93"/>
    <w:multiLevelType w:val="singleLevel"/>
    <w:tmpl w:val="5A20AA93"/>
    <w:lvl w:ilvl="0" w:tentative="0">
      <w:start w:val="2"/>
      <w:numFmt w:val="chineseCounting"/>
      <w:suff w:val="nothing"/>
      <w:lvlText w:val="第%1章"/>
      <w:lvlJc w:val="left"/>
    </w:lvl>
  </w:abstractNum>
  <w:abstractNum w:abstractNumId="2">
    <w:nsid w:val="5A20AD81"/>
    <w:multiLevelType w:val="singleLevel"/>
    <w:tmpl w:val="5A20AD81"/>
    <w:lvl w:ilvl="0" w:tentative="0">
      <w:start w:val="1"/>
      <w:numFmt w:val="decimal"/>
      <w:suff w:val="nothing"/>
      <w:lvlText w:val="%1、"/>
      <w:lvlJc w:val="left"/>
    </w:lvl>
  </w:abstractNum>
  <w:abstractNum w:abstractNumId="3">
    <w:nsid w:val="5A20AF8B"/>
    <w:multiLevelType w:val="singleLevel"/>
    <w:tmpl w:val="5A20AF8B"/>
    <w:lvl w:ilvl="0" w:tentative="0">
      <w:start w:val="1"/>
      <w:numFmt w:val="decimal"/>
      <w:suff w:val="nothing"/>
      <w:lvlText w:val="%1、"/>
      <w:lvlJc w:val="left"/>
    </w:lvl>
  </w:abstractNum>
  <w:abstractNum w:abstractNumId="4">
    <w:nsid w:val="5A2E55CE"/>
    <w:multiLevelType w:val="singleLevel"/>
    <w:tmpl w:val="5A2E55CE"/>
    <w:lvl w:ilvl="0" w:tentative="0">
      <w:start w:val="8"/>
      <w:numFmt w:val="chineseCounting"/>
      <w:suff w:val="nothing"/>
      <w:lvlText w:val="第%1条、"/>
      <w:lvlJc w:val="left"/>
    </w:lvl>
  </w:abstractNum>
  <w:abstractNum w:abstractNumId="5">
    <w:nsid w:val="5A2F3799"/>
    <w:multiLevelType w:val="singleLevel"/>
    <w:tmpl w:val="5A2F3799"/>
    <w:lvl w:ilvl="0" w:tentative="0">
      <w:start w:val="1"/>
      <w:numFmt w:val="decimal"/>
      <w:suff w:val="nothing"/>
      <w:lvlText w:val="%1、"/>
      <w:lvlJc w:val="left"/>
    </w:lvl>
  </w:abstractNum>
  <w:abstractNum w:abstractNumId="6">
    <w:nsid w:val="5A2F412F"/>
    <w:multiLevelType w:val="singleLevel"/>
    <w:tmpl w:val="5A2F412F"/>
    <w:lvl w:ilvl="0" w:tentative="0">
      <w:start w:val="1"/>
      <w:numFmt w:val="decimal"/>
      <w:suff w:val="nothing"/>
      <w:lvlText w:val="%1、"/>
      <w:lvlJc w:val="left"/>
    </w:lvl>
  </w:abstractNum>
  <w:num w:numId="1">
    <w:abstractNumId w:val="1"/>
  </w:num>
  <w:num w:numId="2">
    <w:abstractNumId w:val="0"/>
  </w:num>
  <w:num w:numId="3">
    <w:abstractNumId w:val="6"/>
  </w:num>
  <w:num w:numId="4">
    <w:abstractNumId w:val="5"/>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02FD"/>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07C44"/>
    <w:rsid w:val="00C11739"/>
    <w:rsid w:val="00C168C6"/>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2F2315A"/>
    <w:rsid w:val="03C42A1C"/>
    <w:rsid w:val="047E4028"/>
    <w:rsid w:val="04EF3402"/>
    <w:rsid w:val="053061FF"/>
    <w:rsid w:val="05E02607"/>
    <w:rsid w:val="06A44178"/>
    <w:rsid w:val="06BF642B"/>
    <w:rsid w:val="07463C80"/>
    <w:rsid w:val="076B32D4"/>
    <w:rsid w:val="07CD30E4"/>
    <w:rsid w:val="082F0254"/>
    <w:rsid w:val="0856062D"/>
    <w:rsid w:val="091D3F5E"/>
    <w:rsid w:val="09F424AA"/>
    <w:rsid w:val="0A7C3DA6"/>
    <w:rsid w:val="0B624E01"/>
    <w:rsid w:val="0CCC038B"/>
    <w:rsid w:val="0CF35A6D"/>
    <w:rsid w:val="0DD643AE"/>
    <w:rsid w:val="0E1B31AF"/>
    <w:rsid w:val="0E620C08"/>
    <w:rsid w:val="0E7A670E"/>
    <w:rsid w:val="0EA07550"/>
    <w:rsid w:val="101E2384"/>
    <w:rsid w:val="116F0D88"/>
    <w:rsid w:val="11A03704"/>
    <w:rsid w:val="11FE3433"/>
    <w:rsid w:val="13B30401"/>
    <w:rsid w:val="16755A32"/>
    <w:rsid w:val="17291035"/>
    <w:rsid w:val="173C598B"/>
    <w:rsid w:val="17B950B8"/>
    <w:rsid w:val="17FB4C11"/>
    <w:rsid w:val="18DC484F"/>
    <w:rsid w:val="1A267315"/>
    <w:rsid w:val="1AF72300"/>
    <w:rsid w:val="1AFC0475"/>
    <w:rsid w:val="1BC570E4"/>
    <w:rsid w:val="1BFA3660"/>
    <w:rsid w:val="1C850908"/>
    <w:rsid w:val="1D7A2005"/>
    <w:rsid w:val="1D9305D0"/>
    <w:rsid w:val="1DAA732B"/>
    <w:rsid w:val="1DCE40B2"/>
    <w:rsid w:val="1DE81F45"/>
    <w:rsid w:val="1EE62766"/>
    <w:rsid w:val="1F28127B"/>
    <w:rsid w:val="1F6024E0"/>
    <w:rsid w:val="207E7F83"/>
    <w:rsid w:val="20C10BA7"/>
    <w:rsid w:val="20E46263"/>
    <w:rsid w:val="218C3E40"/>
    <w:rsid w:val="21D449AB"/>
    <w:rsid w:val="22206576"/>
    <w:rsid w:val="228C7812"/>
    <w:rsid w:val="23B12644"/>
    <w:rsid w:val="246B634E"/>
    <w:rsid w:val="25A36702"/>
    <w:rsid w:val="25E34D3F"/>
    <w:rsid w:val="269C3786"/>
    <w:rsid w:val="27DE63C3"/>
    <w:rsid w:val="281B66B2"/>
    <w:rsid w:val="28367BE4"/>
    <w:rsid w:val="29246921"/>
    <w:rsid w:val="2A2969F4"/>
    <w:rsid w:val="2A56475E"/>
    <w:rsid w:val="2B88597B"/>
    <w:rsid w:val="2C7B2CA8"/>
    <w:rsid w:val="2CA4188C"/>
    <w:rsid w:val="2CAC0903"/>
    <w:rsid w:val="2CF97D51"/>
    <w:rsid w:val="2D9B09E0"/>
    <w:rsid w:val="2E1D5AD2"/>
    <w:rsid w:val="2E367DBC"/>
    <w:rsid w:val="2E9500F1"/>
    <w:rsid w:val="2F8E0489"/>
    <w:rsid w:val="31906EAD"/>
    <w:rsid w:val="31D25200"/>
    <w:rsid w:val="32125E52"/>
    <w:rsid w:val="32701839"/>
    <w:rsid w:val="338E6DE1"/>
    <w:rsid w:val="33CC1E01"/>
    <w:rsid w:val="343B76A2"/>
    <w:rsid w:val="35CB0F7E"/>
    <w:rsid w:val="35DD1ABA"/>
    <w:rsid w:val="35EC631A"/>
    <w:rsid w:val="365D72CC"/>
    <w:rsid w:val="36637E92"/>
    <w:rsid w:val="370E4363"/>
    <w:rsid w:val="375F2FDB"/>
    <w:rsid w:val="37AA5893"/>
    <w:rsid w:val="37F56C63"/>
    <w:rsid w:val="383E30B1"/>
    <w:rsid w:val="3B812076"/>
    <w:rsid w:val="3BD151ED"/>
    <w:rsid w:val="3D9C350E"/>
    <w:rsid w:val="3F4D7D97"/>
    <w:rsid w:val="3FA33AD8"/>
    <w:rsid w:val="41103E9B"/>
    <w:rsid w:val="41F07EC1"/>
    <w:rsid w:val="422C2F00"/>
    <w:rsid w:val="4375684E"/>
    <w:rsid w:val="43F21023"/>
    <w:rsid w:val="4480471D"/>
    <w:rsid w:val="45424C4A"/>
    <w:rsid w:val="456C74AC"/>
    <w:rsid w:val="46337FCA"/>
    <w:rsid w:val="47792559"/>
    <w:rsid w:val="48152F2F"/>
    <w:rsid w:val="48C377A6"/>
    <w:rsid w:val="48D92AE8"/>
    <w:rsid w:val="4AF90EFC"/>
    <w:rsid w:val="4B600068"/>
    <w:rsid w:val="4C1079C5"/>
    <w:rsid w:val="4D0A1114"/>
    <w:rsid w:val="4EDD4EA7"/>
    <w:rsid w:val="4EF61CFF"/>
    <w:rsid w:val="4FD5143E"/>
    <w:rsid w:val="4FFF6617"/>
    <w:rsid w:val="50502A0C"/>
    <w:rsid w:val="50FF30BE"/>
    <w:rsid w:val="510300E3"/>
    <w:rsid w:val="510D4F58"/>
    <w:rsid w:val="518C2C03"/>
    <w:rsid w:val="5251274D"/>
    <w:rsid w:val="52722A63"/>
    <w:rsid w:val="53157485"/>
    <w:rsid w:val="543A2922"/>
    <w:rsid w:val="54847773"/>
    <w:rsid w:val="558619EB"/>
    <w:rsid w:val="559C7E5C"/>
    <w:rsid w:val="55DF25A4"/>
    <w:rsid w:val="57607947"/>
    <w:rsid w:val="586C64CB"/>
    <w:rsid w:val="59752E25"/>
    <w:rsid w:val="599256CF"/>
    <w:rsid w:val="5A43340D"/>
    <w:rsid w:val="5A450F6B"/>
    <w:rsid w:val="5B873401"/>
    <w:rsid w:val="5B8A3610"/>
    <w:rsid w:val="5BAF3B52"/>
    <w:rsid w:val="5C745E91"/>
    <w:rsid w:val="5CBF1249"/>
    <w:rsid w:val="5CEB2E23"/>
    <w:rsid w:val="5D070CE7"/>
    <w:rsid w:val="5DB837FB"/>
    <w:rsid w:val="5DD54524"/>
    <w:rsid w:val="5EA66F51"/>
    <w:rsid w:val="5F53513A"/>
    <w:rsid w:val="60552271"/>
    <w:rsid w:val="607B3751"/>
    <w:rsid w:val="609B01A1"/>
    <w:rsid w:val="616B6389"/>
    <w:rsid w:val="6180007C"/>
    <w:rsid w:val="61D51E88"/>
    <w:rsid w:val="61EB5F5B"/>
    <w:rsid w:val="627231E0"/>
    <w:rsid w:val="63474995"/>
    <w:rsid w:val="63C40DE8"/>
    <w:rsid w:val="63EF5947"/>
    <w:rsid w:val="642E083B"/>
    <w:rsid w:val="64CB2C98"/>
    <w:rsid w:val="64E22FFD"/>
    <w:rsid w:val="664E76E7"/>
    <w:rsid w:val="665E0C30"/>
    <w:rsid w:val="66B172B2"/>
    <w:rsid w:val="67077ED9"/>
    <w:rsid w:val="67162867"/>
    <w:rsid w:val="67936A17"/>
    <w:rsid w:val="67950753"/>
    <w:rsid w:val="67E02E9E"/>
    <w:rsid w:val="6A285CE3"/>
    <w:rsid w:val="6BA862BD"/>
    <w:rsid w:val="6D22664C"/>
    <w:rsid w:val="6D3911BE"/>
    <w:rsid w:val="6E9B756B"/>
    <w:rsid w:val="708915EC"/>
    <w:rsid w:val="719F083E"/>
    <w:rsid w:val="7321788E"/>
    <w:rsid w:val="735D5A77"/>
    <w:rsid w:val="74BE5C65"/>
    <w:rsid w:val="75265064"/>
    <w:rsid w:val="75AE223D"/>
    <w:rsid w:val="766D2A87"/>
    <w:rsid w:val="768B77ED"/>
    <w:rsid w:val="769A13A3"/>
    <w:rsid w:val="770601E9"/>
    <w:rsid w:val="7714539C"/>
    <w:rsid w:val="795D31D7"/>
    <w:rsid w:val="79D346EE"/>
    <w:rsid w:val="7A644347"/>
    <w:rsid w:val="7BE82E42"/>
    <w:rsid w:val="7CF72D47"/>
    <w:rsid w:val="7CFA5801"/>
    <w:rsid w:val="7E6606C5"/>
    <w:rsid w:val="7F12264E"/>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2018-12-06T08:19:46Z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