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hint="eastAsia" w:asciiTheme="minorEastAsia" w:hAnsiTheme="minorEastAsia" w:eastAsiaTheme="minorEastAsia"/>
          <w:color w:val="000000"/>
          <w:sz w:val="28"/>
          <w:szCs w:val="28"/>
          <w:highlight w:val="none"/>
          <w:lang w:val="en-US" w:eastAsia="zh-CN"/>
        </w:rPr>
      </w:pPr>
      <w:r>
        <w:rPr>
          <w:rFonts w:hint="eastAsia" w:asciiTheme="minorEastAsia" w:hAnsiTheme="minorEastAsia" w:eastAsiaTheme="minorEastAsia"/>
          <w:color w:val="000000"/>
          <w:sz w:val="28"/>
          <w:szCs w:val="28"/>
          <w:highlight w:val="none"/>
        </w:rPr>
        <w:t>招标编号：SXCG201807-F-060</w:t>
      </w:r>
    </w:p>
    <w:p>
      <w:pPr>
        <w:overflowPunct w:val="0"/>
        <w:jc w:val="center"/>
        <w:rPr>
          <w:rFonts w:asciiTheme="minorEastAsia" w:hAnsiTheme="minorEastAsia" w:eastAsiaTheme="minorEastAsia"/>
          <w:color w:val="000000"/>
          <w:sz w:val="28"/>
          <w:szCs w:val="28"/>
          <w:highlight w:val="none"/>
        </w:rPr>
      </w:pPr>
      <w:r>
        <w:rPr>
          <w:rFonts w:hint="eastAsia" w:asciiTheme="minorEastAsia" w:hAnsiTheme="minorEastAsia" w:eastAsiaTheme="minorEastAsia"/>
          <w:color w:val="000000"/>
          <w:sz w:val="28"/>
          <w:szCs w:val="28"/>
          <w:highlight w:val="none"/>
        </w:rPr>
        <w:t>项目名称：</w:t>
      </w:r>
      <w:r>
        <w:rPr>
          <w:rFonts w:hint="eastAsia" w:asciiTheme="minorEastAsia" w:hAnsiTheme="minorEastAsia" w:eastAsiaTheme="minorEastAsia"/>
          <w:color w:val="000000"/>
          <w:sz w:val="28"/>
          <w:szCs w:val="28"/>
          <w:highlight w:val="none"/>
          <w:lang w:eastAsia="zh-CN"/>
        </w:rPr>
        <w:t>书香平江府商铺出租项目</w:t>
      </w:r>
    </w:p>
    <w:p>
      <w:pPr>
        <w:overflowPunct w:val="0"/>
        <w:jc w:val="center"/>
        <w:rPr>
          <w:rFonts w:asciiTheme="minorEastAsia" w:hAnsiTheme="minorEastAsia" w:eastAsiaTheme="minorEastAsia"/>
          <w:color w:val="000000"/>
          <w:sz w:val="28"/>
          <w:szCs w:val="28"/>
          <w:highlight w:val="none"/>
        </w:rPr>
      </w:pPr>
      <w:r>
        <w:rPr>
          <w:rFonts w:hint="eastAsia" w:asciiTheme="minorEastAsia" w:hAnsiTheme="minorEastAsia" w:eastAsiaTheme="minorEastAsia"/>
          <w:color w:val="000000"/>
          <w:sz w:val="28"/>
          <w:szCs w:val="28"/>
          <w:highlight w:val="none"/>
        </w:rPr>
        <w:t>单位：</w:t>
      </w:r>
      <w:r>
        <w:rPr>
          <w:rFonts w:hint="eastAsia" w:asciiTheme="minorEastAsia" w:hAnsiTheme="minorEastAsia" w:eastAsiaTheme="minorEastAsia"/>
          <w:color w:val="000000"/>
          <w:sz w:val="28"/>
          <w:szCs w:val="28"/>
          <w:highlight w:val="none"/>
          <w:lang w:eastAsia="zh-CN"/>
        </w:rPr>
        <w:t>苏州书香世家平江府酒店有限公司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 201</w:t>
      </w:r>
      <w:r>
        <w:rPr>
          <w:rFonts w:hint="eastAsia" w:ascii="宋体" w:hAnsi="宋体"/>
          <w:color w:val="000000"/>
          <w:sz w:val="28"/>
          <w:szCs w:val="28"/>
          <w:lang w:val="en-US" w:eastAsia="zh-CN"/>
        </w:rPr>
        <w:t>8</w:t>
      </w:r>
      <w:r>
        <w:rPr>
          <w:rFonts w:hint="eastAsia" w:ascii="宋体" w:hAnsi="宋体"/>
          <w:color w:val="000000"/>
          <w:sz w:val="28"/>
          <w:szCs w:val="28"/>
        </w:rPr>
        <w:t xml:space="preserve"> 年</w:t>
      </w:r>
      <w:r>
        <w:rPr>
          <w:rFonts w:hint="eastAsia" w:ascii="宋体" w:hAnsi="宋体"/>
          <w:color w:val="000000"/>
          <w:sz w:val="28"/>
          <w:szCs w:val="28"/>
          <w:lang w:val="en-US" w:eastAsia="zh-CN"/>
        </w:rPr>
        <w:t>07</w:t>
      </w:r>
      <w:r>
        <w:rPr>
          <w:rFonts w:hint="eastAsia" w:ascii="宋体" w:hAnsi="宋体"/>
          <w:color w:val="000000"/>
          <w:sz w:val="28"/>
          <w:szCs w:val="28"/>
        </w:rPr>
        <w:t>月</w:t>
      </w:r>
      <w:r>
        <w:rPr>
          <w:rFonts w:hint="eastAsia" w:ascii="宋体" w:hAnsi="宋体"/>
          <w:color w:val="000000"/>
          <w:sz w:val="28"/>
          <w:szCs w:val="28"/>
          <w:lang w:val="en-US" w:eastAsia="zh-CN"/>
        </w:rPr>
        <w:t>16</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32"/>
          <w:szCs w:val="36"/>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spacing w:before="0" w:beforeLines="0" w:after="0" w:afterLines="0" w:line="240" w:lineRule="auto"/>
            <w:ind w:left="0" w:leftChars="0" w:right="0" w:rightChars="0" w:firstLine="0" w:firstLineChars="0"/>
            <w:jc w:val="center"/>
            <w:rPr>
              <w:sz w:val="32"/>
              <w:szCs w:val="36"/>
            </w:rPr>
          </w:pPr>
          <w:r>
            <w:rPr>
              <w:rFonts w:ascii="宋体" w:hAnsi="宋体" w:eastAsia="宋体"/>
              <w:sz w:val="32"/>
              <w:szCs w:val="36"/>
            </w:rPr>
            <w:t>目</w:t>
          </w:r>
          <w:bookmarkStart w:id="8" w:name="_GoBack"/>
          <w:bookmarkEnd w:id="8"/>
          <w:r>
            <w:rPr>
              <w:rFonts w:hint="eastAsia" w:ascii="宋体" w:hAnsi="宋体"/>
              <w:sz w:val="32"/>
              <w:szCs w:val="36"/>
              <w:lang w:val="en-US" w:eastAsia="zh-CN"/>
            </w:rPr>
            <w:t xml:space="preserve">  </w:t>
          </w:r>
          <w:r>
            <w:rPr>
              <w:rFonts w:ascii="宋体" w:hAnsi="宋体" w:eastAsia="宋体"/>
              <w:sz w:val="32"/>
              <w:szCs w:val="36"/>
            </w:rPr>
            <w:t>录</w:t>
          </w:r>
        </w:p>
        <w:p>
          <w:pPr>
            <w:pStyle w:val="7"/>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_Toc25082 </w:instrText>
          </w:r>
          <w:r>
            <w:fldChar w:fldCharType="separate"/>
          </w:r>
          <w:r>
            <w:rPr>
              <w:rFonts w:hint="eastAsia"/>
            </w:rPr>
            <w:t>第一章、投标邀请函</w:t>
          </w:r>
          <w:r>
            <w:tab/>
          </w:r>
          <w:r>
            <w:fldChar w:fldCharType="begin"/>
          </w:r>
          <w:r>
            <w:instrText xml:space="preserve"> PAGEREF _Toc25082 </w:instrText>
          </w:r>
          <w:r>
            <w:fldChar w:fldCharType="separate"/>
          </w:r>
          <w:r>
            <w:t>3</w:t>
          </w:r>
          <w:r>
            <w:fldChar w:fldCharType="end"/>
          </w:r>
          <w:r>
            <w:fldChar w:fldCharType="end"/>
          </w:r>
        </w:p>
        <w:p>
          <w:pPr>
            <w:pStyle w:val="7"/>
            <w:tabs>
              <w:tab w:val="right" w:leader="dot" w:pos="9072"/>
              <w:tab w:val="clear" w:pos="9062"/>
            </w:tabs>
          </w:pPr>
          <w:r>
            <w:fldChar w:fldCharType="begin"/>
          </w:r>
          <w:r>
            <w:instrText xml:space="preserve"> HYPERLINK \l _Toc20642 </w:instrText>
          </w:r>
          <w:r>
            <w:fldChar w:fldCharType="separate"/>
          </w:r>
          <w:r>
            <w:rPr>
              <w:rFonts w:hint="eastAsia"/>
            </w:rPr>
            <w:t>第二章、投标报价须知及投标文件</w:t>
          </w:r>
          <w:r>
            <w:tab/>
          </w:r>
          <w:r>
            <w:fldChar w:fldCharType="begin"/>
          </w:r>
          <w:r>
            <w:instrText xml:space="preserve"> PAGEREF _Toc20642 </w:instrText>
          </w:r>
          <w:r>
            <w:fldChar w:fldCharType="separate"/>
          </w:r>
          <w:r>
            <w:t>4</w:t>
          </w:r>
          <w:r>
            <w:fldChar w:fldCharType="end"/>
          </w:r>
          <w:r>
            <w:fldChar w:fldCharType="end"/>
          </w:r>
        </w:p>
        <w:p>
          <w:pPr>
            <w:pStyle w:val="7"/>
            <w:tabs>
              <w:tab w:val="right" w:leader="dot" w:pos="9072"/>
              <w:tab w:val="clear" w:pos="9062"/>
            </w:tabs>
          </w:pPr>
          <w:r>
            <w:fldChar w:fldCharType="begin"/>
          </w:r>
          <w:r>
            <w:instrText xml:space="preserve"> HYPERLINK \l _Toc13039 </w:instrText>
          </w:r>
          <w:r>
            <w:fldChar w:fldCharType="separate"/>
          </w:r>
          <w:r>
            <w:rPr>
              <w:rFonts w:hint="eastAsia" w:ascii="华文细黑" w:hAnsi="华文细黑" w:eastAsia="华文细黑"/>
              <w:szCs w:val="21"/>
            </w:rPr>
            <w:t>一、投标报价须知附表</w:t>
          </w:r>
          <w:r>
            <w:tab/>
          </w:r>
          <w:r>
            <w:fldChar w:fldCharType="begin"/>
          </w:r>
          <w:r>
            <w:instrText xml:space="preserve"> PAGEREF _Toc13039 </w:instrText>
          </w:r>
          <w:r>
            <w:fldChar w:fldCharType="separate"/>
          </w:r>
          <w:r>
            <w:t>4</w:t>
          </w:r>
          <w:r>
            <w:fldChar w:fldCharType="end"/>
          </w:r>
          <w:r>
            <w:fldChar w:fldCharType="end"/>
          </w:r>
        </w:p>
        <w:p>
          <w:pPr>
            <w:pStyle w:val="8"/>
            <w:tabs>
              <w:tab w:val="right" w:leader="dot" w:pos="9072"/>
            </w:tabs>
          </w:pPr>
          <w:r>
            <w:fldChar w:fldCharType="begin"/>
          </w:r>
          <w:r>
            <w:instrText xml:space="preserve"> HYPERLINK \l _Toc17773 </w:instrText>
          </w:r>
          <w:r>
            <w:fldChar w:fldCharType="separate"/>
          </w:r>
          <w:r>
            <w:rPr>
              <w:rFonts w:hint="eastAsia" w:ascii="华文细黑" w:hAnsi="华文细黑" w:eastAsia="华文细黑"/>
              <w:bCs w:val="0"/>
              <w:szCs w:val="21"/>
            </w:rPr>
            <w:t>二、投标报价文件</w:t>
          </w:r>
          <w:r>
            <w:tab/>
          </w:r>
          <w:r>
            <w:fldChar w:fldCharType="begin"/>
          </w:r>
          <w:r>
            <w:instrText xml:space="preserve"> PAGEREF _Toc17773 </w:instrText>
          </w:r>
          <w:r>
            <w:fldChar w:fldCharType="separate"/>
          </w:r>
          <w:r>
            <w:t>6</w:t>
          </w:r>
          <w:r>
            <w:fldChar w:fldCharType="end"/>
          </w:r>
          <w:r>
            <w:fldChar w:fldCharType="end"/>
          </w:r>
        </w:p>
        <w:p>
          <w:pPr>
            <w:pStyle w:val="7"/>
            <w:tabs>
              <w:tab w:val="right" w:leader="dot" w:pos="9072"/>
              <w:tab w:val="clear" w:pos="9062"/>
            </w:tabs>
          </w:pPr>
          <w:r>
            <w:fldChar w:fldCharType="begin"/>
          </w:r>
          <w:r>
            <w:instrText xml:space="preserve"> HYPERLINK \l _Toc21810 </w:instrText>
          </w:r>
          <w:r>
            <w:fldChar w:fldCharType="separate"/>
          </w:r>
          <w:r>
            <w:rPr>
              <w:rFonts w:hint="eastAsia"/>
            </w:rPr>
            <w:t>第三章、投标文件封面格式</w:t>
          </w:r>
          <w:r>
            <w:tab/>
          </w:r>
          <w:r>
            <w:fldChar w:fldCharType="begin"/>
          </w:r>
          <w:r>
            <w:instrText xml:space="preserve"> PAGEREF _Toc21810 </w:instrText>
          </w:r>
          <w:r>
            <w:fldChar w:fldCharType="separate"/>
          </w:r>
          <w:r>
            <w:t>7</w:t>
          </w:r>
          <w:r>
            <w:fldChar w:fldCharType="end"/>
          </w:r>
          <w:r>
            <w:fldChar w:fldCharType="end"/>
          </w:r>
        </w:p>
        <w:p>
          <w:pPr>
            <w:pStyle w:val="7"/>
            <w:tabs>
              <w:tab w:val="right" w:leader="dot" w:pos="9072"/>
              <w:tab w:val="clear" w:pos="9062"/>
            </w:tabs>
          </w:pPr>
          <w:r>
            <w:fldChar w:fldCharType="begin"/>
          </w:r>
          <w:r>
            <w:instrText xml:space="preserve"> HYPERLINK \l _Toc13785 </w:instrText>
          </w:r>
          <w:r>
            <w:fldChar w:fldCharType="separate"/>
          </w:r>
          <w:r>
            <w:rPr>
              <w:rFonts w:hint="eastAsia"/>
              <w:szCs w:val="32"/>
            </w:rPr>
            <w:t>第四章、资信文件及商务文件</w:t>
          </w:r>
          <w:r>
            <w:tab/>
          </w:r>
          <w:r>
            <w:fldChar w:fldCharType="begin"/>
          </w:r>
          <w:r>
            <w:instrText xml:space="preserve"> PAGEREF _Toc13785 </w:instrText>
          </w:r>
          <w:r>
            <w:fldChar w:fldCharType="separate"/>
          </w:r>
          <w:r>
            <w:t>8</w:t>
          </w:r>
          <w:r>
            <w:fldChar w:fldCharType="end"/>
          </w:r>
          <w:r>
            <w:fldChar w:fldCharType="end"/>
          </w:r>
        </w:p>
        <w:p>
          <w:pPr>
            <w:pStyle w:val="8"/>
            <w:tabs>
              <w:tab w:val="right" w:leader="dot" w:pos="9072"/>
            </w:tabs>
          </w:pPr>
          <w:r>
            <w:fldChar w:fldCharType="begin"/>
          </w:r>
          <w:r>
            <w:instrText xml:space="preserve"> HYPERLINK \l _Toc29422 </w:instrText>
          </w:r>
          <w:r>
            <w:fldChar w:fldCharType="separate"/>
          </w:r>
          <w:r>
            <w:rPr>
              <w:rFonts w:hint="eastAsia" w:ascii="华文细黑" w:hAnsi="华文细黑" w:eastAsia="华文细黑"/>
              <w:szCs w:val="21"/>
            </w:rPr>
            <w:t>一、资信文件：</w:t>
          </w:r>
          <w:r>
            <w:tab/>
          </w:r>
          <w:r>
            <w:fldChar w:fldCharType="begin"/>
          </w:r>
          <w:r>
            <w:instrText xml:space="preserve"> PAGEREF _Toc29422 </w:instrText>
          </w:r>
          <w:r>
            <w:fldChar w:fldCharType="separate"/>
          </w:r>
          <w:r>
            <w:t>8</w:t>
          </w:r>
          <w:r>
            <w:fldChar w:fldCharType="end"/>
          </w:r>
          <w:r>
            <w:fldChar w:fldCharType="end"/>
          </w:r>
        </w:p>
        <w:p>
          <w:pPr>
            <w:pStyle w:val="8"/>
            <w:tabs>
              <w:tab w:val="right" w:leader="dot" w:pos="9072"/>
            </w:tabs>
          </w:pPr>
          <w:r>
            <w:fldChar w:fldCharType="begin"/>
          </w:r>
          <w:r>
            <w:instrText xml:space="preserve"> HYPERLINK \l _Toc12734 </w:instrText>
          </w:r>
          <w:r>
            <w:fldChar w:fldCharType="separate"/>
          </w:r>
          <w:r>
            <w:rPr>
              <w:rFonts w:hint="eastAsia" w:ascii="华文细黑" w:hAnsi="华文细黑" w:eastAsia="华文细黑"/>
              <w:szCs w:val="21"/>
            </w:rPr>
            <w:t>二、商务文件：</w:t>
          </w:r>
          <w:r>
            <w:tab/>
          </w:r>
          <w:r>
            <w:fldChar w:fldCharType="begin"/>
          </w:r>
          <w:r>
            <w:instrText xml:space="preserve"> PAGEREF _Toc12734 </w:instrText>
          </w:r>
          <w:r>
            <w:fldChar w:fldCharType="separate"/>
          </w:r>
          <w:r>
            <w:t>8</w:t>
          </w:r>
          <w:r>
            <w:fldChar w:fldCharType="end"/>
          </w:r>
          <w:r>
            <w:fldChar w:fldCharType="end"/>
          </w:r>
        </w:p>
        <w:p>
          <w: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9"/>
      </w:pPr>
      <w:bookmarkStart w:id="0" w:name="_Toc25082"/>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w:t>
      </w:r>
      <w:r>
        <w:rPr>
          <w:rFonts w:hint="eastAsia" w:ascii="华文细黑" w:hAnsi="华文细黑" w:eastAsia="华文细黑"/>
          <w:lang w:eastAsia="zh-CN"/>
        </w:rPr>
        <w:t>（精品酒店）</w:t>
      </w:r>
      <w:r>
        <w:rPr>
          <w:rFonts w:ascii="华文细黑" w:hAnsi="华文细黑" w:eastAsia="华文细黑"/>
        </w:rPr>
        <w:t>”、“书香世家</w:t>
      </w:r>
      <w:r>
        <w:rPr>
          <w:rFonts w:hint="eastAsia" w:ascii="华文细黑" w:hAnsi="华文细黑" w:eastAsia="华文细黑"/>
          <w:lang w:eastAsia="zh-CN"/>
        </w:rPr>
        <w:t>（主题酒店）</w:t>
      </w:r>
      <w:r>
        <w:rPr>
          <w:rFonts w:ascii="华文细黑" w:hAnsi="华文细黑" w:eastAsia="华文细黑"/>
        </w:rPr>
        <w:t>”、</w:t>
      </w:r>
      <w:r>
        <w:rPr>
          <w:rFonts w:hint="eastAsia" w:ascii="华文细黑" w:hAnsi="华文细黑" w:eastAsia="华文细黑"/>
          <w:lang w:eastAsia="zh-CN"/>
        </w:rPr>
        <w:t>“书香心泊（智慧酒店））”</w:t>
      </w:r>
      <w:r>
        <w:rPr>
          <w:rFonts w:ascii="华文细黑" w:hAnsi="华文细黑" w:eastAsia="华文细黑"/>
        </w:rPr>
        <w:t>“书香门第</w:t>
      </w:r>
      <w:r>
        <w:rPr>
          <w:rFonts w:hint="eastAsia" w:ascii="华文细黑" w:hAnsi="华文细黑" w:eastAsia="华文细黑"/>
          <w:lang w:eastAsia="zh-CN"/>
        </w:rPr>
        <w:t>（</w:t>
      </w:r>
      <w:r>
        <w:rPr>
          <w:rFonts w:ascii="华文细黑" w:hAnsi="华文细黑" w:eastAsia="华文细黑"/>
        </w:rPr>
        <w:t>精选酒店</w:t>
      </w:r>
      <w:r>
        <w:rPr>
          <w:rFonts w:hint="eastAsia" w:ascii="华文细黑" w:hAnsi="华文细黑" w:eastAsia="华文细黑"/>
          <w:lang w:eastAsia="zh-CN"/>
        </w:rPr>
        <w:t>）</w:t>
      </w:r>
      <w:r>
        <w:rPr>
          <w:rFonts w:ascii="华文细黑" w:hAnsi="华文细黑" w:eastAsia="华文细黑"/>
        </w:rPr>
        <w:t xml:space="preserve">”等多个系列品牌，同时管理包括胥城食品公司、书香物业管理公司、闲话闲食餐饮管理有限公司、书香雅生活文化传播公司在内的多家子公司。书香酒店集团经过十余年的发展，目前已在全国 </w:t>
      </w:r>
      <w:r>
        <w:rPr>
          <w:rFonts w:hint="eastAsia" w:ascii="华文细黑" w:hAnsi="华文细黑" w:eastAsia="华文细黑"/>
          <w:lang w:val="en-US" w:eastAsia="zh-CN"/>
        </w:rPr>
        <w:t>7</w:t>
      </w:r>
      <w:r>
        <w:rPr>
          <w:rFonts w:ascii="华文细黑" w:hAnsi="华文细黑" w:eastAsia="华文细黑"/>
        </w:rPr>
        <w:t xml:space="preserve"> 省 </w:t>
      </w:r>
      <w:r>
        <w:rPr>
          <w:rFonts w:hint="eastAsia" w:ascii="华文细黑" w:hAnsi="华文细黑" w:eastAsia="华文细黑"/>
          <w:lang w:val="en-US" w:eastAsia="zh-CN"/>
        </w:rPr>
        <w:t>18</w:t>
      </w:r>
      <w:r>
        <w:rPr>
          <w:rFonts w:ascii="华文细黑" w:hAnsi="华文细黑" w:eastAsia="华文细黑"/>
        </w:rPr>
        <w:t>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hint="eastAsia" w:ascii="华文细黑" w:hAnsi="华文细黑" w:eastAsia="华文细黑"/>
        </w:rPr>
      </w:pPr>
      <w:r>
        <w:rPr>
          <w:rFonts w:hint="eastAsia" w:ascii="华文细黑" w:hAnsi="华文细黑" w:eastAsia="华文细黑"/>
        </w:rPr>
        <w:t>1、项目名称：书香平江府商铺出租项目</w:t>
      </w:r>
    </w:p>
    <w:p>
      <w:pPr>
        <w:spacing w:line="360" w:lineRule="auto"/>
        <w:rPr>
          <w:rFonts w:hint="eastAsia" w:ascii="华文细黑" w:hAnsi="华文细黑" w:eastAsia="华文细黑"/>
          <w:lang w:val="en-US" w:eastAsia="zh-CN"/>
        </w:rPr>
      </w:pPr>
      <w:r>
        <w:rPr>
          <w:rFonts w:hint="eastAsia" w:ascii="华文细黑" w:hAnsi="华文细黑" w:eastAsia="华文细黑"/>
        </w:rPr>
        <w:t>2、招标编号：SXCG201807-F-060</w:t>
      </w:r>
    </w:p>
    <w:p>
      <w:pPr>
        <w:spacing w:line="360" w:lineRule="auto"/>
        <w:rPr>
          <w:rFonts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w:t>
      </w:r>
      <w:r>
        <w:rPr>
          <w:rFonts w:hint="eastAsia" w:ascii="华文细黑" w:hAnsi="华文细黑" w:eastAsia="华文细黑"/>
          <w:lang w:eastAsia="zh-CN"/>
        </w:rPr>
        <w:t>具体内容与要求</w:t>
      </w:r>
      <w:r>
        <w:rPr>
          <w:rFonts w:hint="eastAsia" w:ascii="华文细黑" w:hAnsi="华文细黑" w:eastAsia="华文细黑"/>
        </w:rPr>
        <w:t>：</w:t>
      </w:r>
      <w:r>
        <w:rPr>
          <w:rFonts w:hint="eastAsia" w:ascii="华文细黑" w:hAnsi="华文细黑" w:eastAsia="华文细黑"/>
          <w:lang w:eastAsia="zh-CN"/>
        </w:rPr>
        <w:t>详见投标报价须知附表。</w:t>
      </w:r>
    </w:p>
    <w:p>
      <w:pPr>
        <w:spacing w:line="360" w:lineRule="auto"/>
        <w:rPr>
          <w:rFonts w:ascii="华文细黑" w:hAnsi="华文细黑" w:eastAsia="华文细黑"/>
        </w:rPr>
      </w:pPr>
      <w:r>
        <w:rPr>
          <w:rFonts w:hint="eastAsia" w:ascii="华文细黑" w:hAnsi="华文细黑" w:eastAsia="华文细黑"/>
        </w:rPr>
        <w:t>二、投标人资质要求：</w:t>
      </w:r>
    </w:p>
    <w:p>
      <w:pPr>
        <w:spacing w:line="360" w:lineRule="auto"/>
        <w:rPr>
          <w:rFonts w:ascii="华文细黑" w:hAnsi="华文细黑" w:eastAsia="华文细黑"/>
        </w:rPr>
      </w:pPr>
      <w:r>
        <w:rPr>
          <w:rFonts w:hint="eastAsia" w:ascii="华文细黑" w:hAnsi="华文细黑" w:eastAsia="华文细黑"/>
        </w:rPr>
        <w:t>投标人须是独立法人</w:t>
      </w:r>
      <w:r>
        <w:rPr>
          <w:rFonts w:hint="eastAsia" w:ascii="华文细黑" w:hAnsi="华文细黑" w:eastAsia="华文细黑"/>
          <w:lang w:eastAsia="zh-CN"/>
        </w:rPr>
        <w:t>或个体工商户</w:t>
      </w:r>
      <w:r>
        <w:rPr>
          <w:rFonts w:hint="eastAsia" w:ascii="华文细黑" w:hAnsi="华文细黑" w:eastAsia="华文细黑"/>
        </w:rPr>
        <w:t>，持有企业</w:t>
      </w:r>
      <w:r>
        <w:rPr>
          <w:rFonts w:hint="eastAsia" w:ascii="华文细黑" w:hAnsi="华文细黑" w:eastAsia="华文细黑"/>
          <w:lang w:eastAsia="zh-CN"/>
        </w:rPr>
        <w:t>或个体工商户</w:t>
      </w:r>
      <w:r>
        <w:rPr>
          <w:rFonts w:hint="eastAsia" w:ascii="华文细黑" w:hAnsi="华文细黑" w:eastAsia="华文细黑"/>
        </w:rPr>
        <w:t>营业执照</w:t>
      </w:r>
      <w:r>
        <w:rPr>
          <w:rFonts w:hint="eastAsia" w:ascii="华文细黑" w:hAnsi="华文细黑" w:eastAsia="华文细黑"/>
          <w:lang w:eastAsia="zh-CN"/>
        </w:rPr>
        <w:t>，</w:t>
      </w:r>
      <w:r>
        <w:rPr>
          <w:rFonts w:hint="eastAsia" w:ascii="华文细黑" w:hAnsi="华文细黑" w:eastAsia="华文细黑"/>
          <w:highlight w:val="none"/>
          <w:lang w:eastAsia="zh-CN"/>
        </w:rPr>
        <w:t>信誉良好</w:t>
      </w:r>
      <w:r>
        <w:rPr>
          <w:rFonts w:hint="eastAsia" w:ascii="华文细黑" w:hAnsi="华文细黑" w:eastAsia="华文细黑"/>
        </w:rPr>
        <w:t>。</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hint="eastAsia" w:ascii="华文细黑" w:hAnsi="华文细黑" w:eastAsia="华文细黑"/>
        </w:rPr>
      </w:pPr>
      <w:r>
        <w:rPr>
          <w:rFonts w:hint="eastAsia" w:ascii="华文细黑" w:hAnsi="华文细黑" w:eastAsia="华文细黑"/>
        </w:rPr>
        <w:t>本项目采用邀请招标形式。</w:t>
      </w:r>
    </w:p>
    <w:p>
      <w:pPr>
        <w:spacing w:line="360" w:lineRule="auto"/>
        <w:rPr>
          <w:rFonts w:hint="eastAsia" w:ascii="华文细黑" w:hAnsi="华文细黑" w:eastAsia="华文细黑"/>
          <w:lang w:eastAsia="zh-CN"/>
        </w:rPr>
      </w:pP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w:t>
      </w:r>
    </w:p>
    <w:p>
      <w:pPr>
        <w:ind w:right="-386" w:rightChars="-184"/>
        <w:rPr>
          <w:rFonts w:ascii="华文细黑" w:hAnsi="华文细黑" w:eastAsia="华文细黑"/>
        </w:rPr>
      </w:pPr>
      <w:r>
        <w:rPr>
          <w:rFonts w:hint="eastAsia" w:ascii="华文细黑" w:hAnsi="华文细黑" w:eastAsia="华文细黑"/>
        </w:rPr>
        <w:t xml:space="preserve">                                                  </w:t>
      </w:r>
      <w:r>
        <w:rPr>
          <w:rFonts w:hint="eastAsia" w:ascii="华文细黑" w:hAnsi="华文细黑" w:eastAsia="华文细黑"/>
          <w:lang w:val="en-US" w:eastAsia="zh-CN"/>
        </w:rPr>
        <w:t xml:space="preserve"> </w:t>
      </w:r>
      <w:r>
        <w:rPr>
          <w:rFonts w:hint="eastAsia" w:ascii="华文细黑" w:hAnsi="华文细黑" w:eastAsia="华文细黑"/>
        </w:rPr>
        <w:t>联系方式：</w:t>
      </w:r>
      <w:r>
        <w:rPr>
          <w:rFonts w:hint="eastAsia" w:ascii="华文细黑" w:hAnsi="华文细黑" w:eastAsia="华文细黑"/>
          <w:lang w:val="en-US" w:eastAsia="zh-CN"/>
        </w:rPr>
        <w:t>17761883525/0512-68124092</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07</w:t>
      </w:r>
      <w:r>
        <w:rPr>
          <w:rFonts w:hint="eastAsia" w:ascii="华文细黑" w:hAnsi="华文细黑" w:eastAsia="华文细黑"/>
        </w:rPr>
        <w:t>月</w:t>
      </w:r>
      <w:r>
        <w:rPr>
          <w:rFonts w:hint="eastAsia" w:ascii="华文细黑" w:hAnsi="华文细黑" w:eastAsia="华文细黑"/>
          <w:lang w:val="en-US" w:eastAsia="zh-CN"/>
        </w:rPr>
        <w:t>16</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9"/>
      </w:pPr>
      <w:bookmarkStart w:id="1" w:name="_Toc20642"/>
      <w:r>
        <w:rPr>
          <w:rFonts w:hint="eastAsia"/>
        </w:rPr>
        <w:t>第二章、投标报价须知及投标文件</w:t>
      </w:r>
      <w:bookmarkEnd w:id="1"/>
    </w:p>
    <w:p>
      <w:pPr>
        <w:pStyle w:val="9"/>
        <w:jc w:val="left"/>
        <w:outlineLvl w:val="1"/>
        <w:rPr>
          <w:rFonts w:ascii="华文细黑" w:hAnsi="华文细黑" w:eastAsia="华文细黑"/>
          <w:sz w:val="21"/>
          <w:szCs w:val="21"/>
        </w:rPr>
      </w:pPr>
      <w:bookmarkStart w:id="2" w:name="_Toc13039"/>
      <w:r>
        <w:rPr>
          <w:rFonts w:hint="eastAsia" w:ascii="华文细黑" w:hAnsi="华文细黑" w:eastAsia="华文细黑"/>
          <w:sz w:val="21"/>
          <w:szCs w:val="21"/>
        </w:rPr>
        <w:t>一、投标报价须知附表</w:t>
      </w:r>
      <w:bookmarkEnd w:id="2"/>
    </w:p>
    <w:tbl>
      <w:tblPr>
        <w:tblStyle w:val="1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rPr>
              <w:t>书香平江府商铺出租项目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苏州市姑苏区平江路北段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出租周期</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最短1年，最长3年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具体</w:t>
            </w:r>
            <w:r>
              <w:rPr>
                <w:rFonts w:hint="eastAsia" w:ascii="华文细黑" w:hAnsi="华文细黑" w:eastAsia="华文细黑"/>
                <w:color w:val="000000"/>
                <w:szCs w:val="21"/>
              </w:rPr>
              <w:t>要求</w:t>
            </w:r>
          </w:p>
        </w:tc>
        <w:tc>
          <w:tcPr>
            <w:tcW w:w="5812" w:type="dxa"/>
            <w:tcBorders>
              <w:top w:val="single" w:color="auto" w:sz="4" w:space="0"/>
              <w:left w:val="single" w:color="auto" w:sz="4" w:space="0"/>
              <w:bottom w:val="single" w:color="auto" w:sz="4" w:space="0"/>
              <w:right w:val="single" w:color="auto" w:sz="4" w:space="0"/>
            </w:tcBorders>
          </w:tcPr>
          <w:p>
            <w:pPr>
              <w:jc w:val="left"/>
              <w:rPr>
                <w:rFonts w:hint="eastAsia"/>
                <w:lang w:val="en-US" w:eastAsia="zh-CN"/>
              </w:rPr>
            </w:pPr>
            <w:r>
              <w:rPr>
                <w:rFonts w:hint="eastAsia"/>
                <w:lang w:val="en-US" w:eastAsia="zh-CN"/>
              </w:rPr>
              <w:t>1.位于苏州市姑苏区平江路北段的物业租赁作开店用途，经营范围以乙方营业执照为准，甲方对所出租的物业具有合法使用权。租赁期限最短1年，最长3年。</w:t>
            </w:r>
          </w:p>
          <w:p>
            <w:pPr>
              <w:jc w:val="left"/>
              <w:rPr>
                <w:rFonts w:hint="eastAsia"/>
                <w:lang w:val="en-US" w:eastAsia="zh-CN"/>
              </w:rPr>
            </w:pPr>
            <w:r>
              <w:rPr>
                <w:rFonts w:hint="eastAsia"/>
                <w:lang w:val="en-US" w:eastAsia="zh-CN"/>
              </w:rPr>
              <w:t>2.物业建筑面积为147平方米，甲方将该物业交付乙方使用时，物业结构及配套设施为砖瓦结构。租赁期内，未经甲方书面同意，乙方不得擅自改变或破坏以上物业结构及配套设施。乙方因装修物业需改变物业结构或原有配套设施时，须征得甲方书面同意后方可进行。</w:t>
            </w:r>
          </w:p>
          <w:p>
            <w:pPr>
              <w:jc w:val="left"/>
              <w:rPr>
                <w:rFonts w:hint="eastAsia"/>
                <w:lang w:val="en-US" w:eastAsia="zh-CN"/>
              </w:rPr>
            </w:pPr>
            <w:r>
              <w:rPr>
                <w:rFonts w:hint="eastAsia"/>
                <w:lang w:val="en-US" w:eastAsia="zh-CN"/>
              </w:rPr>
              <w:t>3.乙方一次向甲方交纳人民币20000元整作为保证金，合同期满或双方解除合同之日，如乙方没有违约并结清相关所有费用，甲方需将该保证金一次性无息退还给乙方。</w:t>
            </w:r>
          </w:p>
          <w:p>
            <w:pPr>
              <w:jc w:val="left"/>
              <w:rPr>
                <w:rFonts w:hint="eastAsia"/>
                <w:lang w:val="en-US" w:eastAsia="zh-CN"/>
              </w:rPr>
            </w:pPr>
            <w:r>
              <w:rPr>
                <w:rFonts w:hint="eastAsia"/>
                <w:lang w:val="en-US" w:eastAsia="zh-CN"/>
              </w:rPr>
              <w:t>4.合同期内，政府对租赁物征收的有关税项，由乙方负责及时缴交。</w:t>
            </w:r>
          </w:p>
          <w:p>
            <w:pPr>
              <w:jc w:val="left"/>
              <w:rPr>
                <w:rFonts w:hint="eastAsia"/>
                <w:lang w:val="en-US" w:eastAsia="zh-CN"/>
              </w:rPr>
            </w:pPr>
            <w:r>
              <w:rPr>
                <w:rFonts w:hint="eastAsia"/>
                <w:lang w:val="en-US" w:eastAsia="zh-CN"/>
              </w:rPr>
              <w:t>5.合同期内，该物业的物业管理费、治安费、卫生费、电费、有线电视费、水费及经营活动产生的一切费用一概由乙方负责，乙方应如期足额缴交上述应缴费用，如因乙方欠费造成第三方向甲方追缴时甲方有权向乙方追缴或在乙方保证金中扣除。</w:t>
            </w:r>
          </w:p>
          <w:p>
            <w:pPr>
              <w:jc w:val="left"/>
              <w:rPr>
                <w:rFonts w:hint="eastAsia"/>
                <w:lang w:val="en-US" w:eastAsia="zh-CN"/>
              </w:rPr>
            </w:pPr>
            <w:r>
              <w:rPr>
                <w:rFonts w:hint="eastAsia"/>
                <w:lang w:val="en-US" w:eastAsia="zh-CN"/>
              </w:rPr>
              <w:t>6.合同期内，乙方应及时缴纳房租及其他相关费用，如乙方拖欠不缴，每逾期一天，甲方将按照拖欠金额的5%加收滞纳金。拖欠金额超过3个月，甲方有权解除合同。</w:t>
            </w:r>
          </w:p>
          <w:p>
            <w:pPr>
              <w:jc w:val="left"/>
              <w:rPr>
                <w:rFonts w:hint="eastAsia"/>
                <w:lang w:val="en-US" w:eastAsia="zh-CN"/>
              </w:rPr>
            </w:pPr>
            <w:r>
              <w:rPr>
                <w:rFonts w:hint="eastAsia"/>
                <w:lang w:val="en-US" w:eastAsia="zh-CN"/>
              </w:rPr>
              <w:t>6.乙方应遵守国家法律法规依法经营，不得在租赁的物业内贮存危险、易燃、违禁物品。不得在租赁的物业内住宿，物业内禁止电瓶车充电。</w:t>
            </w:r>
          </w:p>
          <w:p>
            <w:pPr>
              <w:jc w:val="left"/>
              <w:rPr>
                <w:rFonts w:hint="eastAsia"/>
                <w:lang w:val="en-US" w:eastAsia="zh-CN"/>
              </w:rPr>
            </w:pPr>
            <w:r>
              <w:rPr>
                <w:rFonts w:hint="eastAsia"/>
                <w:lang w:val="en-US" w:eastAsia="zh-CN"/>
              </w:rPr>
              <w:t>7.乙方的所有经营行为与甲方没有任何关系，所有债权债务均由乙方负责，甲方不负任何责任。</w:t>
            </w:r>
          </w:p>
          <w:p>
            <w:pPr>
              <w:jc w:val="left"/>
              <w:rPr>
                <w:rFonts w:hint="eastAsia"/>
                <w:lang w:val="en-US" w:eastAsia="zh-CN"/>
              </w:rPr>
            </w:pPr>
            <w:r>
              <w:rPr>
                <w:rFonts w:hint="eastAsia"/>
                <w:lang w:val="en-US" w:eastAsia="zh-CN"/>
              </w:rPr>
              <w:t>8.乙方在租赁期间，必须以合理防范措施，保护租赁物业及配套设施的完好无损(自然折旧除外)，如因乙方使用不当或人为造成租赁物业及其配套设施损毁的，乙方应负责恹复原状或赔偿甲方相关损失。</w:t>
            </w:r>
          </w:p>
          <w:p>
            <w:pPr>
              <w:jc w:val="left"/>
              <w:rPr>
                <w:rFonts w:hint="eastAsia"/>
                <w:lang w:val="en-US" w:eastAsia="zh-CN"/>
              </w:rPr>
            </w:pPr>
            <w:r>
              <w:rPr>
                <w:rFonts w:hint="eastAsia"/>
                <w:lang w:val="en-US" w:eastAsia="zh-CN"/>
              </w:rPr>
              <w:t>9.安全：甲方定期对商铺进行安全检查，如若发现存在安全隐患，责令乙方限期整改，若未在规定期限内整改完成，甲方有权责令乙方勒令整改、停业整顿、解除合同，期间产生的一切损失由乙方自行承担。</w:t>
            </w:r>
          </w:p>
          <w:p>
            <w:pPr>
              <w:jc w:val="left"/>
              <w:rPr>
                <w:rFonts w:hint="eastAsia"/>
                <w:lang w:val="en-US" w:eastAsia="zh-CN"/>
              </w:rPr>
            </w:pPr>
            <w:r>
              <w:rPr>
                <w:rFonts w:hint="eastAsia"/>
                <w:lang w:val="en-US" w:eastAsia="zh-CN"/>
              </w:rPr>
              <w:t>10、不得转租。</w:t>
            </w:r>
          </w:p>
          <w:p>
            <w:pPr>
              <w:numPr>
                <w:ilvl w:val="0"/>
                <w:numId w:val="0"/>
              </w:num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项目联系人</w:t>
            </w:r>
          </w:p>
        </w:tc>
        <w:tc>
          <w:tcPr>
            <w:tcW w:w="581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szCs w:val="21"/>
                <w:lang w:val="en-US"/>
              </w:rPr>
            </w:pPr>
            <w:r>
              <w:rPr>
                <w:rFonts w:hint="eastAsia"/>
                <w:lang w:val="en-US" w:eastAsia="zh-CN"/>
              </w:rPr>
              <w:t>徐强</w:t>
            </w:r>
            <w:r>
              <w:rPr>
                <w:rFonts w:hint="eastAsia"/>
                <w:color w:val="000000" w:themeColor="text1"/>
                <w:lang w:val="en-US" w:eastAsia="zh-CN"/>
                <w14:textFill>
                  <w14:solidFill>
                    <w14:schemeClr w14:val="tx1"/>
                  </w14:solidFill>
                </w14:textFill>
              </w:rPr>
              <w:t xml:space="preserve">   </w:t>
            </w:r>
            <w:r>
              <w:rPr>
                <w:rFonts w:hint="eastAsia"/>
                <w:lang w:val="en-US" w:eastAsia="zh-CN"/>
              </w:rPr>
              <w:t>18896914172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lang w:eastAsia="zh-CN"/>
              </w:rPr>
              <w:t>企业或个体工商户</w:t>
            </w:r>
            <w:r>
              <w:rPr>
                <w:rFonts w:hint="eastAsia" w:ascii="华文细黑" w:hAnsi="华文细黑" w:eastAsia="华文细黑"/>
                <w:szCs w:val="21"/>
              </w:rPr>
              <w:t>，</w:t>
            </w:r>
            <w:r>
              <w:rPr>
                <w:rFonts w:hint="eastAsia" w:ascii="华文细黑" w:hAnsi="华文细黑" w:eastAsia="华文细黑"/>
                <w:szCs w:val="21"/>
                <w:lang w:eastAsia="zh-CN"/>
              </w:rPr>
              <w:t>有营业执照，</w:t>
            </w:r>
            <w:r>
              <w:rPr>
                <w:rFonts w:hint="eastAsia" w:ascii="华文细黑" w:hAnsi="华文细黑" w:eastAsia="华文细黑"/>
                <w:szCs w:val="21"/>
              </w:rPr>
              <w:t>信誉良好。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ascii="华文细黑" w:hAnsi="华文细黑" w:eastAsia="华文细黑"/>
                <w:szCs w:val="21"/>
              </w:rPr>
            </w:pPr>
            <w:r>
              <w:rPr>
                <w:rFonts w:hint="eastAsia" w:ascii="华文细黑" w:hAnsi="华文细黑" w:eastAsia="华文细黑"/>
                <w:szCs w:val="21"/>
                <w:lang w:eastAsia="zh-CN"/>
              </w:rPr>
              <w:t>纸质：</w:t>
            </w:r>
            <w:r>
              <w:rPr>
                <w:rFonts w:hint="eastAsia" w:ascii="华文细黑" w:hAnsi="华文细黑" w:eastAsia="华文细黑"/>
                <w:szCs w:val="21"/>
              </w:rPr>
              <w:t>正本一份，副本</w:t>
            </w:r>
            <w:r>
              <w:rPr>
                <w:rFonts w:hint="eastAsia" w:ascii="华文细黑" w:hAnsi="华文细黑" w:eastAsia="华文细黑"/>
                <w:szCs w:val="21"/>
                <w:lang w:eastAsia="zh-CN"/>
              </w:rPr>
              <w:t>一</w:t>
            </w:r>
            <w:r>
              <w:rPr>
                <w:rFonts w:hint="eastAsia" w:ascii="华文细黑" w:hAnsi="华文细黑" w:eastAsia="华文细黑"/>
                <w:szCs w:val="21"/>
              </w:rPr>
              <w:t>份，密封盖章。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23</w:t>
            </w:r>
            <w:r>
              <w:rPr>
                <w:rFonts w:hint="eastAsia" w:ascii="华文细黑" w:hAnsi="华文细黑" w:eastAsia="华文细黑"/>
                <w:b/>
                <w:bCs/>
                <w:color w:val="FF0000"/>
                <w:szCs w:val="21"/>
                <w:highlight w:val="yellow"/>
              </w:rPr>
              <w:t>日上午</w:t>
            </w:r>
            <w:r>
              <w:rPr>
                <w:rFonts w:hint="eastAsia" w:ascii="华文细黑" w:hAnsi="华文细黑" w:eastAsia="华文细黑"/>
                <w:b/>
                <w:bCs/>
                <w:color w:val="FF0000"/>
                <w:szCs w:val="21"/>
                <w:highlight w:val="yellow"/>
                <w:lang w:val="en-US" w:eastAsia="zh-CN"/>
              </w:rPr>
              <w:t>9</w:t>
            </w:r>
            <w:r>
              <w:rPr>
                <w:rFonts w:hint="eastAsia" w:ascii="华文细黑" w:hAnsi="华文细黑" w:eastAsia="华文细黑"/>
                <w:b/>
                <w:bCs/>
                <w:color w:val="FF0000"/>
                <w:szCs w:val="21"/>
                <w:highlight w:val="yellow"/>
              </w:rPr>
              <w:t>：00之前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w:t>
            </w:r>
            <w:r>
              <w:rPr>
                <w:rFonts w:hint="eastAsia" w:ascii="华文细黑" w:hAnsi="华文细黑" w:eastAsia="华文细黑"/>
              </w:rPr>
              <w:t>1</w:t>
            </w:r>
            <w:r>
              <w:rPr>
                <w:rFonts w:hint="eastAsia" w:ascii="华文细黑" w:hAnsi="华文细黑" w:eastAsia="华文细黑"/>
                <w:lang w:val="en-US" w:eastAsia="zh-CN"/>
              </w:rPr>
              <w:t>7761883525/0512-68124092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ascii="华文细黑" w:hAnsi="华文细黑" w:eastAsia="华文细黑"/>
                <w:b/>
                <w:bCs/>
                <w:szCs w:val="21"/>
              </w:rPr>
            </w:pPr>
            <w:r>
              <w:rPr>
                <w:rFonts w:hint="eastAsia" w:ascii="华文细黑" w:hAnsi="华文细黑" w:eastAsia="华文细黑"/>
                <w:b/>
                <w:bCs/>
                <w:szCs w:val="21"/>
                <w:lang w:val="en-US" w:eastAsia="zh-CN"/>
              </w:rPr>
              <w:t>年租金40万/年起，价高者得（同等报价，投标人再次报价，且报价不得低于原报价）。</w:t>
            </w:r>
          </w:p>
          <w:p>
            <w:pPr>
              <w:numPr>
                <w:ilvl w:val="0"/>
                <w:numId w:val="1"/>
              </w:numPr>
              <w:spacing w:line="400" w:lineRule="atLeast"/>
              <w:rPr>
                <w:rFonts w:ascii="华文细黑" w:hAnsi="华文细黑" w:eastAsia="华文细黑"/>
                <w:szCs w:val="21"/>
              </w:rPr>
            </w:pPr>
            <w:r>
              <w:rPr>
                <w:rFonts w:hint="eastAsia" w:ascii="华文细黑" w:hAnsi="华文细黑" w:eastAsia="华文细黑"/>
                <w:szCs w:val="21"/>
              </w:rPr>
              <w:t>报价书必须符合招标文件的实质性要求。（招标人有权要求报价单位对报价内容进行解释，个别材料如不符合招标人要求的，招标人有权要求报价单位调整报价）。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1、报价包含</w:t>
            </w:r>
            <w:r>
              <w:rPr>
                <w:rFonts w:hint="eastAsia" w:ascii="华文细黑" w:hAnsi="华文细黑" w:eastAsia="华文细黑"/>
                <w:szCs w:val="21"/>
                <w:lang w:eastAsia="zh-CN"/>
              </w:rPr>
              <w:t>：标书制作费、邮寄费、人工、税金、</w:t>
            </w:r>
            <w:r>
              <w:rPr>
                <w:rFonts w:hint="eastAsia" w:ascii="华文细黑" w:hAnsi="华文细黑" w:eastAsia="华文细黑"/>
                <w:szCs w:val="21"/>
              </w:rPr>
              <w:t>政策性文件规定及合同包含的所有风险、责任等各项应有费用。</w:t>
            </w:r>
          </w:p>
          <w:p>
            <w:pPr>
              <w:spacing w:line="400" w:lineRule="atLeast"/>
              <w:rPr>
                <w:rFonts w:ascii="华文细黑" w:hAnsi="华文细黑" w:eastAsia="华文细黑"/>
                <w:szCs w:val="21"/>
              </w:rPr>
            </w:pPr>
            <w:r>
              <w:rPr>
                <w:rFonts w:hint="eastAsia" w:ascii="华文细黑" w:hAnsi="华文细黑" w:eastAsia="华文细黑"/>
                <w:szCs w:val="21"/>
              </w:rPr>
              <w:t>2、其它有关物价、人工上涨的风险等。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eastAsia="zh-CN"/>
              </w:rPr>
              <w:t>租金以</w:t>
            </w:r>
            <w:r>
              <w:rPr>
                <w:rFonts w:hint="eastAsia" w:ascii="华文细黑" w:hAnsi="华文细黑" w:eastAsia="华文细黑"/>
                <w:szCs w:val="21"/>
                <w:u w:val="single"/>
                <w:lang w:eastAsia="zh-CN"/>
              </w:rPr>
              <w:t>壹</w:t>
            </w:r>
            <w:r>
              <w:rPr>
                <w:rFonts w:hint="eastAsia" w:ascii="华文细黑" w:hAnsi="华文细黑" w:eastAsia="华文细黑"/>
                <w:szCs w:val="21"/>
                <w:lang w:eastAsia="zh-CN"/>
              </w:rPr>
              <w:t>年，为一个支付期，先支付后使用。首期租金支付时间为签合同当日，以后乙方必须在距上一支付期所对应的房屋租赁期限到期</w:t>
            </w:r>
            <w:r>
              <w:rPr>
                <w:rFonts w:hint="eastAsia" w:ascii="华文细黑" w:hAnsi="华文细黑" w:eastAsia="华文细黑"/>
                <w:szCs w:val="21"/>
                <w:u w:val="single"/>
                <w:lang w:val="en-US" w:eastAsia="zh-CN"/>
              </w:rPr>
              <w:t>15天前</w:t>
            </w:r>
            <w:r>
              <w:rPr>
                <w:rFonts w:hint="eastAsia" w:ascii="华文细黑" w:hAnsi="华文细黑" w:eastAsia="华文细黑"/>
                <w:szCs w:val="21"/>
                <w:lang w:val="en-US" w:eastAsia="zh-CN"/>
              </w:rPr>
              <w:t>付清下一支付期房租。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20</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下午17:00前以电子邮件形式同时发到hqps@soocor.com邮箱。项目部经整理后统一通过电子邮件回复</w:t>
            </w:r>
            <w:r>
              <w:rPr>
                <w:rFonts w:hint="eastAsia" w:ascii="华文细黑" w:hAnsi="华文细黑" w:eastAsia="华文细黑"/>
                <w:szCs w:val="21"/>
                <w:lang w:eastAsia="zh-CN"/>
              </w:rPr>
              <w:t>。</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w:t>
            </w:r>
            <w:r>
              <w:rPr>
                <w:rFonts w:hint="eastAsia" w:ascii="华文细黑" w:hAnsi="华文细黑" w:eastAsia="华文细黑"/>
                <w:szCs w:val="21"/>
                <w:lang w:eastAsia="zh-CN"/>
              </w:rPr>
              <w:t>。</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
      <w:pPr>
        <w:pStyle w:val="3"/>
        <w:rPr>
          <w:rFonts w:ascii="华文细黑" w:hAnsi="华文细黑" w:eastAsia="华文细黑"/>
          <w:bCs w:val="0"/>
          <w:sz w:val="21"/>
          <w:szCs w:val="21"/>
        </w:rPr>
      </w:pPr>
      <w:bookmarkStart w:id="3" w:name="_Toc17773"/>
      <w:r>
        <w:rPr>
          <w:rFonts w:hint="eastAsia" w:ascii="华文细黑" w:hAnsi="华文细黑" w:eastAsia="华文细黑"/>
          <w:bCs w:val="0"/>
          <w:sz w:val="21"/>
          <w:szCs w:val="21"/>
        </w:rPr>
        <w:t>二、投标报价文件</w:t>
      </w:r>
      <w:bookmarkEnd w:id="3"/>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w:t>
      </w:r>
      <w:r>
        <w:rPr>
          <w:rFonts w:hint="eastAsia" w:ascii="华文细黑" w:hAnsi="华文细黑" w:eastAsia="华文细黑"/>
          <w:szCs w:val="21"/>
          <w:highlight w:val="yellow"/>
        </w:rPr>
        <w:t>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w:t>
      </w:r>
      <w:r>
        <w:rPr>
          <w:rFonts w:hint="eastAsia" w:ascii="华文细黑" w:hAnsi="华文细黑" w:eastAsia="华文细黑"/>
          <w:szCs w:val="21"/>
          <w:highlight w:val="yellow"/>
        </w:rPr>
        <w:t>营业执照</w:t>
      </w:r>
      <w:r>
        <w:rPr>
          <w:rFonts w:hint="eastAsia" w:ascii="华文细黑" w:hAnsi="华文细黑" w:eastAsia="华文细黑"/>
          <w:szCs w:val="21"/>
          <w:highlight w:val="yellow"/>
          <w:lang w:eastAsia="zh-CN"/>
        </w:rPr>
        <w:t>等</w:t>
      </w:r>
      <w:r>
        <w:rPr>
          <w:rFonts w:hint="eastAsia" w:ascii="华文细黑" w:hAnsi="华文细黑" w:eastAsia="华文细黑"/>
          <w:szCs w:val="21"/>
        </w:rPr>
        <w:t>（凡提供复印件的必须加盖单位红章）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“正本”和“副本”，正本壹份、副本壹份。</w:t>
      </w:r>
      <w:r>
        <w:rPr>
          <w:rFonts w:hint="eastAsia" w:ascii="华文细黑" w:hAnsi="华文细黑" w:eastAsia="华文细黑"/>
          <w:szCs w:val="21"/>
        </w:rPr>
        <w:t>分别装订成册，并在封面上正确标明。正、副本不一致时，以正本为准。</w:t>
      </w:r>
      <w:r>
        <w:rPr>
          <w:rFonts w:hint="eastAsia" w:ascii="华文细黑" w:hAnsi="华文细黑" w:eastAsia="华文细黑"/>
          <w:szCs w:val="21"/>
          <w:lang w:eastAsia="zh-CN"/>
        </w:rPr>
        <w:t>可</w:t>
      </w:r>
      <w:r>
        <w:rPr>
          <w:rFonts w:hint="eastAsia" w:ascii="华文细黑" w:hAnsi="华文细黑" w:eastAsia="华文细黑"/>
          <w:szCs w:val="21"/>
        </w:rPr>
        <w:t>提供的</w:t>
      </w:r>
      <w:r>
        <w:rPr>
          <w:rFonts w:hint="eastAsia" w:ascii="华文细黑" w:hAnsi="华文细黑" w:eastAsia="华文细黑"/>
          <w:szCs w:val="21"/>
          <w:lang w:eastAsia="zh-CN"/>
        </w:rPr>
        <w:t>单位简介</w:t>
      </w:r>
      <w:r>
        <w:rPr>
          <w:rFonts w:hint="eastAsia" w:ascii="华文细黑" w:hAnsi="华文细黑" w:eastAsia="华文细黑"/>
          <w:szCs w:val="21"/>
          <w:highlight w:val="yellow"/>
        </w:rPr>
        <w:t>供参考</w:t>
      </w:r>
      <w:r>
        <w:rPr>
          <w:rFonts w:hint="eastAsia" w:ascii="华文细黑" w:hAnsi="华文细黑" w:eastAsia="华文细黑"/>
          <w:szCs w:val="21"/>
          <w:highlight w:val="yellow"/>
          <w:lang w:eastAsia="zh-CN"/>
        </w:rPr>
        <w:t>，</w:t>
      </w:r>
      <w:r>
        <w:rPr>
          <w:rFonts w:hint="eastAsia" w:ascii="华文细黑" w:hAnsi="华文细黑" w:eastAsia="华文细黑"/>
          <w:szCs w:val="21"/>
        </w:rPr>
        <w:t>若为电子稿请拷贝到U盘里。</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t>③投标人应将报价文件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，封袋上应写明投标单位名称、项目名称。竞争报价人必须在骑缝处加盖投标人公章。</w:t>
      </w:r>
    </w:p>
    <w:p>
      <w:pPr>
        <w:spacing w:line="360" w:lineRule="auto"/>
        <w:rPr>
          <w:rFonts w:ascii="华文细黑" w:hAnsi="华文细黑" w:eastAsia="华文细黑"/>
          <w:szCs w:val="21"/>
        </w:rPr>
      </w:pPr>
      <w:r>
        <w:rPr>
          <w:rFonts w:hint="eastAsia" w:ascii="华文细黑" w:hAnsi="华文细黑" w:eastAsia="华文细黑"/>
          <w:szCs w:val="21"/>
        </w:rPr>
        <w:t>④投标报价应按《投标报价须知附表》中所规定的地点，于截止时间前提交竞争报价文件，截止时间以后收到的竞争报价文件将被拒绝。</w:t>
      </w:r>
    </w:p>
    <w:p>
      <w:pPr>
        <w:spacing w:line="360" w:lineRule="auto"/>
        <w:rPr>
          <w:rFonts w:ascii="华文细黑" w:hAnsi="华文细黑" w:eastAsia="华文细黑"/>
          <w:szCs w:val="21"/>
        </w:rPr>
      </w:pPr>
      <w:r>
        <w:rPr>
          <w:rFonts w:ascii="华文细黑" w:hAnsi="华文细黑" w:eastAsia="华文细黑"/>
          <w:szCs w:val="21"/>
        </w:rPr>
        <w:br w:type="page"/>
      </w:r>
    </w:p>
    <w:p>
      <w:pPr>
        <w:pStyle w:val="9"/>
      </w:pPr>
      <w:bookmarkStart w:id="4" w:name="_Toc21810"/>
      <w:r>
        <w:rPr>
          <w:rFonts w:hint="eastAsia"/>
        </w:rPr>
        <w:t>第三章、投标文件封面格式</w:t>
      </w:r>
      <w:bookmarkEnd w:id="4"/>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3" name="文本框 3"/>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_x0000_s1026"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M40AJfcBAAD2AwAADgAAAGRycy9lMm9Eb2MueG1srVPNjtMw&#10;EL4j8Q6W7zTZrIJI1HQlKOWCAGmXB5jaTmLJf7K9TfoC8AacuHDnufocjN1u6QIHhMjBGXvG33zz&#10;zXh5M2tFdsIHaU1HrxYlJcIwy6UZOvrxbvPsBSUhguGgrBEd3YtAb1ZPnywn14rKjlZx4QmCmNBO&#10;rqNjjK4tisBGoSEsrBMGnb31GiJu/VBwDxOia1VUZfm8mKznzlsmQsDT9dFJVxm/7wWL7/s+iEhU&#10;R5FbzKvP6zatxWoJ7eDBjZKdaMA/sNAgDSY9Q60hArn38jcoLZm3wfZxwawubN9LJnINWM1V+Us1&#10;tyM4kWtBcYI7yxT+Hyx7t/vgieQdvabEgMYWHb58Pnz9fvj2iVwneSYXWoy6dRgX55d2xjY/nAc8&#10;TFXPvdfpj/UQ9KPQ+7O4Yo6EpUtV1TRNTQlDX92UdZ3VL37edj7EN8JqkoyOemxe1hR2b0NEJhj6&#10;EJKSBask30il8sYP21fKkx1gozf5SyTxyqMwZcjU0aauEg/AeesVRDS1QwWCGXK+RzfCJXCZvz8B&#10;J2JrCOORQEZIYdBqGYXP1iiAvzacxL1DlQ0+B5rIaMEpUQJfT7JyZASp/iYSq1MmJRF50k8qpYYd&#10;G5OsOG9nBE3m1vI9NvHeeTmMKHBuY5E8OFxZq9NDSNN7uUf78rmu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AhIks1QAAAAQBAAAPAAAAAAAAAAEAIAAAACIAAABkcnMvZG93bnJldi54bWxQSwEC&#10;FAAUAAAACACHTuJAM40AJfcBAAD2AwAADgAAAAAAAAABACAAAAAkAQAAZHJzL2Uyb0RvYy54bWxQ&#10;SwUGAAAAAAYABgBZAQAAjQ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使用单位：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日期：                 年                 月              日</w:t>
      </w:r>
    </w:p>
    <w:p>
      <w:pPr>
        <w:pStyle w:val="2"/>
        <w:jc w:val="center"/>
        <w:rPr>
          <w:sz w:val="32"/>
          <w:szCs w:val="32"/>
        </w:rPr>
      </w:pPr>
      <w:r>
        <w:rPr>
          <w:rFonts w:ascii="宋体" w:hAnsi="宋体"/>
          <w:b w:val="0"/>
          <w:color w:val="000000"/>
          <w:sz w:val="28"/>
          <w:szCs w:val="28"/>
        </w:rPr>
        <w:br w:type="page"/>
      </w:r>
      <w:bookmarkStart w:id="5" w:name="_Toc13785"/>
      <w:r>
        <w:rPr>
          <w:rFonts w:hint="eastAsia"/>
          <w:sz w:val="32"/>
          <w:szCs w:val="32"/>
        </w:rPr>
        <w:t>第四章、资信文件及商务文件</w:t>
      </w:r>
      <w:bookmarkEnd w:id="5"/>
    </w:p>
    <w:p>
      <w:pPr>
        <w:pStyle w:val="3"/>
        <w:rPr>
          <w:rFonts w:ascii="华文细黑" w:hAnsi="华文细黑" w:eastAsia="华文细黑"/>
          <w:sz w:val="21"/>
          <w:szCs w:val="21"/>
        </w:rPr>
      </w:pPr>
      <w:bookmarkStart w:id="6" w:name="_Toc29422"/>
      <w:r>
        <w:rPr>
          <w:rFonts w:hint="eastAsia" w:ascii="华文细黑" w:hAnsi="华文细黑" w:eastAsia="华文细黑"/>
          <w:sz w:val="21"/>
          <w:szCs w:val="21"/>
        </w:rPr>
        <w:t>一、资信文件：</w:t>
      </w:r>
      <w:bookmarkEnd w:id="6"/>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lang w:val="en-US" w:eastAsia="zh-CN"/>
        </w:rPr>
        <w:t>1</w:t>
      </w:r>
      <w:r>
        <w:rPr>
          <w:rFonts w:hint="eastAsia" w:ascii="华文细黑" w:hAnsi="华文细黑" w:eastAsia="华文细黑"/>
          <w:szCs w:val="21"/>
        </w:rPr>
        <w:t>、法定代表人</w:t>
      </w:r>
      <w:r>
        <w:rPr>
          <w:rFonts w:hint="eastAsia" w:ascii="华文细黑" w:hAnsi="华文细黑" w:eastAsia="华文细黑"/>
          <w:szCs w:val="21"/>
          <w:lang w:eastAsia="zh-CN"/>
        </w:rPr>
        <w:t>或个体工商户</w:t>
      </w:r>
      <w:r>
        <w:rPr>
          <w:rFonts w:hint="eastAsia" w:ascii="华文细黑" w:hAnsi="华文细黑" w:eastAsia="华文细黑"/>
          <w:szCs w:val="21"/>
        </w:rPr>
        <w:t>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lang w:val="en-US" w:eastAsia="zh-CN"/>
        </w:rPr>
        <w:t>2</w:t>
      </w:r>
      <w:r>
        <w:rPr>
          <w:rFonts w:hint="eastAsia" w:ascii="华文细黑" w:hAnsi="华文细黑" w:eastAsia="华文细黑"/>
          <w:szCs w:val="21"/>
        </w:rPr>
        <w:t>、投标文件签署授权委托书（见样式</w:t>
      </w:r>
      <w:r>
        <w:rPr>
          <w:rFonts w:hint="eastAsia" w:ascii="华文细黑" w:hAnsi="华文细黑" w:eastAsia="华文细黑"/>
          <w:szCs w:val="21"/>
          <w:lang w:val="en-US" w:eastAsia="zh-CN"/>
        </w:rPr>
        <w:t>1</w:t>
      </w:r>
      <w:r>
        <w:rPr>
          <w:rFonts w:hint="eastAsia" w:ascii="华文细黑" w:hAnsi="华文细黑" w:eastAsia="华文细黑"/>
          <w:szCs w:val="21"/>
        </w:rPr>
        <w:t>）</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、营业执照复印件、资质证书、许可证等（加盖公章）</w:t>
      </w:r>
    </w:p>
    <w:p>
      <w:pPr>
        <w:numPr>
          <w:ilvl w:val="255"/>
          <w:numId w:val="0"/>
        </w:numPr>
        <w:spacing w:line="360" w:lineRule="auto"/>
      </w:pPr>
      <w:r>
        <w:rPr>
          <w:rFonts w:hint="eastAsia"/>
          <w:lang w:val="en-US" w:eastAsia="zh-CN"/>
        </w:rPr>
        <w:t>4</w:t>
      </w:r>
      <w:r>
        <w:rPr>
          <w:rFonts w:hint="eastAsia"/>
        </w:rPr>
        <w:t>、</w:t>
      </w:r>
      <w:r>
        <w:rPr>
          <w:rFonts w:hint="eastAsia" w:ascii="华文细黑" w:hAnsi="华文细黑" w:eastAsia="华文细黑"/>
          <w:szCs w:val="21"/>
        </w:rPr>
        <w:t>投标人认为符合招标人要求的有效的其他资质及需要说明的资料</w:t>
      </w:r>
    </w:p>
    <w:p>
      <w:pPr>
        <w:pStyle w:val="3"/>
        <w:rPr>
          <w:rFonts w:ascii="华文细黑" w:hAnsi="华文细黑" w:eastAsia="华文细黑"/>
          <w:sz w:val="21"/>
          <w:szCs w:val="21"/>
        </w:rPr>
      </w:pPr>
      <w:bookmarkStart w:id="7" w:name="_Toc12734"/>
      <w:r>
        <w:rPr>
          <w:rFonts w:hint="eastAsia" w:ascii="华文细黑" w:hAnsi="华文细黑" w:eastAsia="华文细黑"/>
          <w:sz w:val="21"/>
          <w:szCs w:val="21"/>
        </w:rPr>
        <w:t>二、商务文件：</w:t>
      </w:r>
      <w:bookmarkEnd w:id="7"/>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hint="eastAsia" w:ascii="华文细黑" w:hAnsi="华文细黑" w:eastAsia="华文细黑"/>
          <w:szCs w:val="21"/>
          <w:highlight w:val="yellow"/>
        </w:rPr>
        <w:t>投标人情况介绍（</w:t>
      </w:r>
      <w:r>
        <w:rPr>
          <w:rFonts w:hint="eastAsia" w:ascii="华文细黑" w:hAnsi="华文细黑" w:eastAsia="华文细黑"/>
          <w:szCs w:val="21"/>
          <w:highlight w:val="yellow"/>
          <w:lang w:eastAsia="zh-CN"/>
        </w:rPr>
        <w:t>资信情况等</w:t>
      </w:r>
      <w:r>
        <w:rPr>
          <w:rFonts w:hint="eastAsia" w:ascii="华文细黑" w:hAnsi="华文细黑" w:eastAsia="华文细黑"/>
          <w:szCs w:val="21"/>
          <w:highlight w:val="yellow"/>
        </w:rPr>
        <w:t>）</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4"/>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w:t>
      </w:r>
      <w:r>
        <w:rPr>
          <w:rFonts w:hint="eastAsia" w:ascii="华文细黑" w:hAnsi="华文细黑" w:eastAsia="华文细黑"/>
          <w:sz w:val="28"/>
          <w:szCs w:val="28"/>
          <w:lang w:val="en-US" w:eastAsia="zh-CN"/>
        </w:rPr>
        <w:t>1</w:t>
      </w:r>
      <w:r>
        <w:rPr>
          <w:rFonts w:hint="eastAsia" w:ascii="华文细黑" w:hAnsi="华文细黑" w:eastAsia="华文细黑"/>
          <w:sz w:val="28"/>
          <w:szCs w:val="28"/>
        </w:rPr>
        <w:t>、</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i w:val="0"/>
          <w:iCs w:val="0"/>
          <w:color w:val="000000"/>
          <w:szCs w:val="21"/>
          <w:u w:val="single"/>
        </w:rPr>
        <w:t>书香平江府商铺出租项目</w:t>
      </w:r>
      <w:r>
        <w:rPr>
          <w:rFonts w:hint="eastAsia" w:ascii="华文细黑" w:hAnsi="华文细黑" w:eastAsia="华文细黑"/>
          <w:color w:val="000000"/>
          <w:szCs w:val="21"/>
        </w:rPr>
        <w:t>的竞争报价。授权委托人所签署的一切文件和处理与之有关的一切事务，我</w:t>
      </w:r>
      <w:r>
        <w:rPr>
          <w:rFonts w:hint="eastAsia" w:ascii="华文细黑" w:hAnsi="华文细黑" w:eastAsia="华文细黑"/>
          <w:color w:val="000000"/>
          <w:szCs w:val="21"/>
          <w:lang w:eastAsia="zh-CN"/>
        </w:rPr>
        <w:t>司</w:t>
      </w:r>
      <w:r>
        <w:rPr>
          <w:rFonts w:hint="eastAsia" w:ascii="华文细黑" w:hAnsi="华文细黑" w:eastAsia="华文细黑"/>
          <w:color w:val="000000"/>
          <w:szCs w:val="21"/>
        </w:rPr>
        <w:t>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w:t>
      </w:r>
      <w:r>
        <w:rPr>
          <w:rFonts w:hint="eastAsia" w:ascii="华文细黑" w:hAnsi="华文细黑" w:eastAsia="华文细黑"/>
          <w:color w:val="000000"/>
          <w:szCs w:val="21"/>
          <w:lang w:eastAsia="zh-CN"/>
        </w:rPr>
        <w:t>公</w:t>
      </w:r>
      <w:r>
        <w:rPr>
          <w:rFonts w:hint="eastAsia" w:ascii="华文细黑" w:hAnsi="华文细黑" w:eastAsia="华文细黑"/>
          <w:color w:val="000000"/>
          <w:szCs w:val="21"/>
        </w:rPr>
        <w:t>章）：</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w:t>
                          </w:r>
                          <w:r>
                            <w:rPr>
                              <w:rFonts w:hint="eastAsia"/>
                              <w:sz w:val="18"/>
                              <w:lang w:val="en-US" w:eastAsia="zh-CN"/>
                            </w:rPr>
                            <w:t>9</w:t>
                          </w:r>
                          <w:r>
                            <w:rPr>
                              <w:rFonts w:hint="eastAsia"/>
                              <w:sz w:val="18"/>
                            </w:rPr>
                            <w:t>页</w:t>
                          </w:r>
                        </w:p>
                      </w:txbxContent>
                    </wps:txbx>
                    <wps:bodyPr lIns="0" tIns="0" rIns="0" bIns="0" upright="1"/>
                  </wps:wsp>
                </a:graphicData>
              </a:graphic>
            </wp:anchor>
          </w:drawing>
        </mc:Choice>
        <mc:Fallback>
          <w:pict>
            <v:shape id="_x0000_s1026"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ChHZ4cqQEAADsDAAAOAAAAZHJzL2Uyb0RvYy54bWytUs1qGzEQ&#10;vhf6DkL3WuuFLcnidaCElEJpA0kfQNZKXoH+GCne9Qu0b5BTLrnnufwcGcleN7S30ov0STP6NN83&#10;s7qarCE7CVF719HloqJEOuF77bYd/XF/8+GCkpi467nxTnZ0LyO9Wr9/txpDK2s/eNNLIEjiYjuG&#10;jg4phZaxKAZpeVz4IB0GlQfLEx5hy3rgI7Jbw+qq+shGD30AL2SMeHt9DNJ14VdKivRdqSgTMR3F&#10;2lJZoaybvLL1irdb4GHQ4lQG/4cqLNcOPz1TXfPEyQPov6isFuCjV2khvGVeKS1k0YBqltUfau4G&#10;HmTRgubEcLYp/j9a8W13C0T3Hb2kxHGLLTo8/jo8vRyef5LLbM8YYotZdwHz0vTJT9jm+T7iZVY9&#10;KbB5Rz0E42j0/myunBIR+VFd1VXTUCIwhmhZNZmG/X4dIKbP0luSQUcBm1c85buvMR1T55T8mfM3&#10;2pjSQOPIiAqauikPzhEkNy7nyjIKJ5qs6Fh5RmnaTCeZG9/vUaX54tDhPC0zgBlsZvAQQG8HrLJ4&#10;wTIRdqjIOU1THoG3Z8RvZ379C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ChHZ4cqQEAADsD&#10;AAAOAAAAAAAAAAEAIAAAACMBAABkcnMvZTJvRG9jLnhtbFBLBQYAAAAABgAGAFkBAAA+BQAAA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w:t>
                    </w:r>
                    <w:r>
                      <w:rPr>
                        <w:rFonts w:hint="eastAsia"/>
                        <w:sz w:val="18"/>
                        <w:lang w:val="en-US" w:eastAsia="zh-CN"/>
                      </w:rPr>
                      <w:t>9</w:t>
                    </w:r>
                    <w:r>
                      <w:rPr>
                        <w:rFonts w:hint="eastAsia"/>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A33A14"/>
    <w:multiLevelType w:val="singleLevel"/>
    <w:tmpl w:val="A4A33A14"/>
    <w:lvl w:ilvl="0" w:tentative="0">
      <w:start w:val="1"/>
      <w:numFmt w:val="decimal"/>
      <w:suff w:val="nothing"/>
      <w:lvlText w:val="%1、"/>
      <w:lvlJc w:val="left"/>
    </w:lvl>
  </w:abstractNum>
  <w:abstractNum w:abstractNumId="1">
    <w:nsid w:val="5A20AF8B"/>
    <w:multiLevelType w:val="singleLevel"/>
    <w:tmpl w:val="5A20AF8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152AC"/>
    <w:rsid w:val="094328CF"/>
    <w:rsid w:val="0C0B1B64"/>
    <w:rsid w:val="19497C44"/>
    <w:rsid w:val="270E08FA"/>
    <w:rsid w:val="2820381A"/>
    <w:rsid w:val="2DA152AC"/>
    <w:rsid w:val="3BEF3C85"/>
    <w:rsid w:val="4590709B"/>
    <w:rsid w:val="58ED6349"/>
    <w:rsid w:val="5B6C4C59"/>
    <w:rsid w:val="5BC13D18"/>
    <w:rsid w:val="61392352"/>
    <w:rsid w:val="666B0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unhideWhenUsed/>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9">
    <w:name w:val="Title"/>
    <w:basedOn w:val="1"/>
    <w:next w:val="1"/>
    <w:qFormat/>
    <w:uiPriority w:val="0"/>
    <w:pPr>
      <w:spacing w:before="240" w:after="60"/>
      <w:jc w:val="center"/>
      <w:outlineLvl w:val="0"/>
    </w:pPr>
    <w:rPr>
      <w:rFonts w:asciiTheme="majorHAnsi" w:hAnsiTheme="majorHAnsi" w:cstheme="majorBidi"/>
      <w:b/>
      <w:bCs/>
      <w:sz w:val="32"/>
      <w:szCs w:val="32"/>
    </w:rPr>
  </w:style>
  <w:style w:type="table" w:styleId="12">
    <w:name w:val="Table Grid"/>
    <w:basedOn w:val="11"/>
    <w:qFormat/>
    <w:uiPriority w:val="59"/>
    <w:rPr>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14">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2018-06-11T05:24:00Z</dcterms:created>
  <dc:creator>莹zy</dc:creator>
  <cp:lastModifiedBy>lenovo</cp:lastModifiedBy>
  <dcterms:modified xsi:type="dcterms:W3CDTF">2018-07-16T08:53:43Z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